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Leaving Against Medical Advice (LAMA)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AAC.12.c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manages a patient's decision to leave against medical advice, ensuring the risk is explained and properly documented.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any patient or attendant electing to leave the hospital against medical advice.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Doctor: </w:t>
      </w:r>
      <w:r>
        <w:t xml:space="preserve">explains the consequences of leaving and obtains the LAMA declaration.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The treating doctor explains the clinical consequences of leaving to the patient or attendant, in a language and manner they understand.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Obtain and record the patient's or attendant's LAMA declaration in the hospital's required format.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Document the reason given for leaving.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Never let a patient leave against medical advice without following this guidance and recording the declaration — this is a non-negotiable requirement.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Issue a discharge summary to the LAMA patient before they leave, per the discharge summary SOP.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6–8 of the AAC.12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the Established Discharge Process (HCO/AAC/POL/12) — AAC.12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2026-09-14T10:02:20.379Z</dcterms:created>
  <dcterms:modified xsi:type="dcterms:W3CDTF">2026-09-14T10:02:20.379Z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