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AAC.13.b — Standardised content (Commitment)</w:t>
      </w:r>
    </w:p>
    <w:p>
      <w:pPr>
        <w:spacing w:after="120"/>
      </w:pPr>
      <w:r>
        <w:rPr>
          <w:b/>
          <w:bCs/>
          <w:sz w:val="28"/>
          <w:szCs w:val="28"/>
        </w:rPr>
        <w:t>AAC.13 Record 3 — Discharge Summary Template Version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the current template version, the fields it includes, and when it was last reviewed — this is not a log of discharge summaries issued.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88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Template Version</w:t>
            </w:r>
          </w:p>
        </w:tc>
        <w:tc>
          <w:tcPr>
            <w:tcW w:type="dxa" w:w="4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Fields Included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v2.1</w:t>
            </w:r>
          </w:p>
        </w:tc>
        <w:tc>
          <w:tcPr>
            <w:tcW w:type="dxa" w:w="4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Name, UID, admission/discharge date, diagnosis, treatment, follow-up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2026-09-14T10:31:51.274Z</dcterms:created>
  <dcterms:modified xsi:type="dcterms:W3CDTF">2026-09-14T10:31:51.274Z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