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Initial Assessment and Care Plan Documentation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AAC.4.a through AAC.4.g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performs standardised initial assessment for every patient, within a defined time, by qualified personnel — resulting in a documented, countersigned care plan for in-patients that identifies special discharge needs early.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treating doctors, nurses, and other caregivers performing initial assessment in OPD, day-care (including dialysis), in-patient wards, and emergency.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Treating Doctor / Assessor: </w:t>
      </w:r>
      <w:r>
        <w:t xml:space="preserve">performs assessment within their privileged scope and within 24 hours of ward arrival for in-patients.</w:t>
      </w:r>
    </w:p>
    <w:p>
      <w:pPr>
        <w:spacing w:after="100"/>
      </w:pPr>
      <w:r>
        <w:rPr>
          <w:b/>
          <w:bCs/>
        </w:rPr>
        <w:t xml:space="preserve">Nursing Staff: </w:t>
      </w:r>
      <w:r>
        <w:t xml:space="preserve">complete the nursing assessment at admission for IP and day-care.</w:t>
      </w:r>
    </w:p>
    <w:p>
      <w:pPr>
        <w:spacing w:after="100"/>
      </w:pPr>
      <w:r>
        <w:rPr>
          <w:b/>
          <w:bCs/>
        </w:rPr>
        <w:t xml:space="preserve">Clinician In-Charge: </w:t>
      </w:r>
      <w:r>
        <w:t xml:space="preserve">countersigns every care plan within 24 hours.</w:t>
      </w:r>
    </w:p>
    <w:p>
      <w:pPr>
        <w:spacing w:after="100"/>
      </w:pPr>
      <w:r>
        <w:rPr>
          <w:b/>
          <w:bCs/>
        </w:rPr>
        <w:t xml:space="preserve">Department Heads: </w:t>
      </w:r>
      <w:r>
        <w:t xml:space="preserve">maintain the assessment privilege list; the Medical Superintendent approves it.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Standardised initial assessment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Use the approved standardised format for the area (OPD, day-care, IP, or emergency). Formats may differ by department but stay consistent within a given area.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In emergency, record vital parameters immediately as part of initial assessment.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For in-patients, complete history, examination including vitals, drug allergies, provisional diagnosis, and medication reconciliation. If a detailed assessment was already done the same day in OPD or emergency, do not repeat it — reference it instead.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Use abridged documentation for day-care patients, including dialysis, where appropriate to the setting.</w:t>
      </w:r>
    </w:p>
    <w:p>
      <w:pPr>
        <w:pStyle w:val="Heading2"/>
        <w:spacing w:after="100" w:before="250"/>
      </w:pPr>
      <w:r>
        <w:t xml:space="preserve">4.2 Assessment only within privileged scope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Before performing any assessment, confirm you are named on the current Assessment Privilege List for that type of assessment.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Department Heads keep the privilege list current; the Medical Superintendent approves every addition or change.</w:t>
      </w:r>
    </w:p>
    <w:p>
      <w:pPr>
        <w:pStyle w:val="Heading2"/>
        <w:spacing w:after="100" w:before="250"/>
      </w:pPr>
      <w:r>
        <w:t xml:space="preserve">4.3 Meeting the time frame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For in-patients: the clock starts on ward arrival and stops at assessment completion — the maximum is 24 hours, with no exception. Assess unstable or high-dependency patients immediately, or within a shorter time the hospital defines for that category. [Hospital to define: state the shorter time for unstable/high-dependency patients here.]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For emergency: record the primary survey and vital signs immediately on arrival, and begin triage immediately, following the World Health Organization's Emergency Triage Assessment and Treatment (ETAT) framework — see Section 8, Reference 1. The hospital's overall time-to-completion target for emergency initial assessment is [Hospital to define].</w:t>
      </w:r>
    </w:p>
    <w:p>
      <w:pPr>
        <w:spacing w:after="120"/>
      </w:pPr>
      <w:r>
        <w:t>ETAT sorts every arriving patient into one of three categories on sight: Emergency signs (e.g. obstructed airway, no breathing, shock, unconsciousness, active seizure) — treat immediately, do not wait in any queue; Priority signs (e.g. severe pain, respiratory distress, restlessness, trauma, pallor) — move ahead of the queue, seen next; Queue (no emergency or priority sign) — seen in turn. [Hospital to define: state here which specific triage tool this hospital has adopted, if different from ETAT.]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For day-care: complete assessment before the procedure or session begins.</w:t>
      </w:r>
    </w:p>
    <w:p>
      <w:pPr>
        <w:pStyle w:val="Heading2"/>
        <w:spacing w:after="100" w:before="250"/>
      </w:pPr>
      <w:r>
        <w:t xml:space="preserve">4.4 Nursing assessment at admission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Complete a nursing assessment at the time of admission for every IP and day-care patient, using the checklist or template for that speciality or admission type.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Identify nursing needs and any special needs, and document within the time frame the hospital has defined for nursing assessment completion. [Hospital to define: state that time frame here.]</w:t>
      </w:r>
    </w:p>
    <w:p>
      <w:pPr>
        <w:pStyle w:val="Heading2"/>
        <w:spacing w:after="100" w:before="250"/>
      </w:pPr>
      <w:r>
        <w:t xml:space="preserve">4.5 Documented, countersigned care plan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For every in-patient, write a care plan in the patient record based on the initial assessment and any available diagnostic results — including provisional/differential diagnosis, relevant investigations, initial treatment, and specific instructions.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A junior doctor may initiate the care plan, but the clinician in-charge must countersign it, dated and timed, within 24 hours.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If the clinician in-charge will be unavailable beyond 24 hours, the named covering consultant countersigns instead, and the Medical Superintendent is informed.</w:t>
      </w:r>
    </w:p>
    <w:p>
      <w:pPr>
        <w:pStyle w:val="Heading2"/>
        <w:spacing w:after="100" w:before="250"/>
      </w:pPr>
      <w:r>
        <w:t xml:space="preserve">4.6 Identifying special post-discharge needs early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Begin identifying special discharge needs during the initial assessment — not only on the day of discharge. Both nursing and medical assessment contribute.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Pay particular attention to extremes of age, restricted mobility, and continuing nursing or rehabilitation needs.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Hand off identified special needs to discharge planning as soon as they are identified, following the hospital's discharge process.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all 23 records in the AAC.4 Required Records pack, covering assessment formats, privilege, timing, nursing assessment, care plan content, countersignature, and special-needs identification.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Initial Assessment (HCO/AAC/POL/04) — AAC.4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— Patient Re-assessment and Care Plan Modification (AAC.5)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annually, or sooner when assessment formats or the privilege list change.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World Health Organization. (2005). Emergency Triage Assessment and Treatment (ETAT) course. </w:t>
      </w:r>
      <w:hyperlink r:id="rId8">
        <w:r>
          <w:rPr>
            <w:color w:val="0563C1"/>
            <w:u w:val="single"/>
          </w:rPr>
          <w:t>https://www.who.int/publications/i/item/9241546875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who.int/publications/i/item/9241546875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2026-09-14T11:14:50.647Z</dcterms:created>
  <dcterms:modified xsi:type="dcterms:W3CDTF">2026-09-14T11:14:50.666Z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