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Critical Laboratory Result Communication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AAC.6.g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communicates a critical laboratory result the moment it is ready, with a documented read-back, so the treating team can act without delay.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laboratory staff member authorised to report results, for every test with a defined critical limit — including outsourced investigations.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Authorised Reporter: </w:t>
      </w:r>
      <w:r>
        <w:t xml:space="preserve">identifies a critical result and calls it in immediately.</w:t>
      </w:r>
    </w:p>
    <w:p>
      <w:pPr>
        <w:spacing w:after="100"/>
      </w:pPr>
      <w:r>
        <w:rPr>
          <w:b/>
          <w:bCs/>
        </w:rPr>
        <w:t xml:space="preserve">Receiving Clinical Staff: </w:t>
      </w:r>
      <w:r>
        <w:t xml:space="preserve">reads back the value to confirm accuracy before acting.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Check every result against the documented critical limits for that test, including outsourced investigation results.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moment a result crosses a critical limit, call a person from the treating team — do not wait for a routine report run.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State clearly: patient name, unique ID, date and time of sample collection, test name, result, unit, and reference range.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Ask the recipient to read back the value to confirm it was heard correctly, and log that the read-back was done.</w:t>
      </w:r>
    </w:p>
    <w:p>
      <w:pPr>
        <w:spacing w:after="120"/>
      </w:pPr>
      <w:r>
        <w:t>5. If the first person contacted cannot be reached or does not acknowledge within a few minutes, escalate immediately to the next person in the treating team's chain (charge nurse, on-call doctor, or per the hospital's on-call contact list) — a critical result must never go unacknowledged.</w:t>
      </w:r>
    </w:p>
    <w:p>
      <w:pPr>
        <w:spacing w:after="120"/>
      </w:pPr>
      <w:r>
        <w:rPr>
          <w:b/>
          <w:bCs/>
        </w:rPr>
        <w:t xml:space="preserve">5. </w:t>
      </w:r>
      <w:r>
        <w:t>Record your own identity and the recipient's identity in the Critical Result Communication Log, with date and time.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19–21 of the AAC.6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Laboratory Services (HCO/AAC/POL/06) — AAC.6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Joint Commission. (2026). National Patient Safety Goals: Report critical results of tests and diagnostic procedures on a timely basis (Goal NPSG.02.03.01). </w:t>
      </w:r>
      <w:hyperlink r:id="rId8">
        <w:r>
          <w:rPr>
            <w:color w:val="0563C1"/>
            <w:u w:val="single"/>
          </w:rPr>
          <w:t>https://www.jointcommission.org/en-us/standards/national-patient-safety-goals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jointcommission.org/en-us/standards/national-patient-safety-goal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2026-09-14T11:33:57.178Z</dcterms:created>
  <dcterms:modified xsi:type="dcterms:W3CDTF">2026-09-14T11:33:57.178Z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