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Specimen Collection, Handling, Transport, Reporting and Disposal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AAC.6.e, AAC.6.f, AAC.6.h, AAC.6.j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handles a laboratory specimen from requisition through to disposal, produces standardised reports within defined turnaround time, and manages outsourced testing safely.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laboratory staff, nurses who collect or transport specimens, and treating doctors who requisition tests.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Requisitioning Doctor: </w:t>
      </w:r>
      <w:r>
        <w:t xml:space="preserve">orders the correct test with adequate clinical information.</w:t>
      </w:r>
    </w:p>
    <w:p>
      <w:pPr>
        <w:spacing w:after="100"/>
      </w:pPr>
      <w:r>
        <w:rPr>
          <w:b/>
          <w:bCs/>
        </w:rPr>
        <w:t xml:space="preserve">Collecting Staff (nurse/phlebotomist): </w:t>
      </w:r>
      <w:r>
        <w:t xml:space="preserve">verifies two identifiers, labels correctly, and follows written collection guidance.</w:t>
      </w:r>
    </w:p>
    <w:p>
      <w:pPr>
        <w:spacing w:after="100"/>
      </w:pPr>
      <w:r>
        <w:rPr>
          <w:b/>
          <w:bCs/>
        </w:rPr>
        <w:t xml:space="preserve">Laboratory In-Charge: </w:t>
      </w:r>
      <w:r>
        <w:t xml:space="preserve">defines TAT per test and monitors compliance.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Requisition and collection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Confirm the requisition names the correct test and carries adequate clinical information.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Check two patient identifiers before collection, and again at laboratory receipt.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Label the specimen with the patient's unique identification number immediately at collection — never label after the fact.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Reject any specimen that is unlabelled, mislabelled, haemolysed, clotted, or insufficient, and log it in the Specimen Rejection Log with the reason.</w:t>
      </w:r>
    </w:p>
    <w:p>
      <w:pPr>
        <w:pStyle w:val="Heading2"/>
        <w:spacing w:after="100" w:before="250"/>
      </w:pPr>
      <w:r>
        <w:t xml:space="preserve">4.2 Transport and processing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Transport specimens per the written guidance for that specimen type, maintaining any required temperature or handling condition.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Process within the turnaround time defined for that specific test (per Record 16 — Defined TAT by Test Category). If a delay is likely, inform the requisitioning doctor.</w:t>
      </w:r>
    </w:p>
    <w:p>
      <w:pPr>
        <w:pStyle w:val="Heading2"/>
        <w:spacing w:after="100" w:before="250"/>
      </w:pPr>
      <w:r>
        <w:t xml:space="preserve">4.3 Turnaround time monitoring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Monitor TAT continuously against the defined time for each test category. This hospital's continuous-monitoring approach is adapted from the College of American Pathologists (CAP) Q-TRACKS quality indicator monitoring programme — see Section 8, Reference 1.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Escalate any persistent TAT breach to the Laboratory In-Charge and log the reason and corrective action.</w:t>
      </w:r>
    </w:p>
    <w:p>
      <w:pPr>
        <w:pStyle w:val="Heading2"/>
        <w:spacing w:after="100" w:before="250"/>
      </w:pPr>
      <w:r>
        <w:t xml:space="preserve">4.4 Standardised reporting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Every report includes, at minimum: organisation name (or outsourced lab name), patient name, unique identification number, and authorised signatory.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Never alter or modify the content of an outsourced report. If issued on this hospital's letterhead, add the outsourced laboratory's name, date, and reference number without changing the result itself.</w:t>
      </w:r>
    </w:p>
    <w:p>
      <w:pPr>
        <w:pStyle w:val="Heading2"/>
        <w:spacing w:after="100" w:before="250"/>
      </w:pPr>
      <w:r>
        <w:t xml:space="preserve">4.5 Outsourced tests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Outsource only to a laboratory with a documented quality assurance system and a current MoU with this hospital.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Follow the written outsourcing guidance for packaging, labelling, and transport of specimens sent out.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Review outsourced laboratory performance at least annually.</w:t>
      </w:r>
    </w:p>
    <w:p>
      <w:pPr>
        <w:pStyle w:val="Heading2"/>
        <w:spacing w:after="100" w:before="250"/>
      </w:pPr>
      <w:r>
        <w:t xml:space="preserve">4.6 Disposal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Segregate and hand over laboratory waste per the hospital's infection-control / biomedical-waste documents — this SOP does not restate those statutory duties, only requires that they are followed.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1, 3, and 13–30 of the AAC.6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Laboratory Services (HCO/AAC/POL/06) — AAC.6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Hospital infection-control / biomedical-waste management documents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or sooner when clinical scope, equipment, or outsourcing arrangements change.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College of American Pathologists. (n.d.). Q-TRACKS quality indicator monitoring programme. </w:t>
      </w:r>
      <w:hyperlink r:id="rId8">
        <w:r>
          <w:rPr>
            <w:color w:val="0563C1"/>
            <w:u w:val="single"/>
          </w:rPr>
          <w:t>https://www.cap.org/laboratory-improvement/programs/q-tracks</w:t>
        </w:r>
      </w:hyperlink>
      <w:r>
        <w:rPr>
          <w:i/>
        </w:rPr>
        <w:t xml:space="preserve"> (Official page; full standard text requires purchase or subscription.)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cap.org/laboratory-improvement/programs/q-track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2026-09-14T11:15:07.558Z</dcterms:created>
  <dcterms:modified xsi:type="dcterms:W3CDTF">2026-09-14T11:15:07.558Z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