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Standard Operating Procedure</w:t>
      </w:r>
    </w:p>
    <w:p>
      <w:pPr>
        <w:spacing w:after="60"/>
      </w:pPr>
      <w:r>
        <w:rPr>
          <w:b/>
          <w:bCs/>
          <w:color w:val="444444"/>
          <w:sz w:val="26"/>
          <w:szCs w:val="26"/>
        </w:rPr>
        <w:t xml:space="preserve">Laboratory Safety Practices, PPE and MSDS Compliance</w:t>
      </w:r>
    </w:p>
    <w:p>
      <w:pPr>
        <w:spacing w:after="250"/>
      </w:pPr>
      <w:r>
        <w:rPr>
          <w:i/>
          <w:iCs/>
          <w:color w:val="666666"/>
        </w:rPr>
        <w:t xml:space="preserve">«Hospital Name» — Supports AAC.7.e, AAC.7.f, AAC.7.g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shd w:fill="D9E2F3" w:val="clear"/>
          </w:tcPr>
          <w:p>
            <w:r>
              <w:rPr>
                <w:b/>
                <w:bCs/>
              </w:rPr>
              <w:t xml:space="preserve">SOP No.</w:t>
            </w:r>
          </w:p>
        </w:tc>
        <w:tc>
          <w:tcPr>
            <w:tcW w:type="dxa" w:w="2340"/>
            <w:gridSpan w:val="1"/>
          </w:tcPr>
          <w:p>
            <w:r>
              <w:t xml:space="preserve">[Hospital to define]</w:t>
            </w:r>
          </w:p>
        </w:tc>
        <w:tc>
          <w:tcPr>
            <w:tcW w:type="dxa" w:w="2340"/>
            <w:gridSpan w:val="1"/>
            <w:shd w:fill="D9E2F3" w:val="clear"/>
          </w:tcPr>
          <w:p>
            <w:r>
              <w:rPr>
                <w:b/>
                <w:bCs/>
              </w:rPr>
              <w:t xml:space="preserve">Version</w:t>
            </w:r>
          </w:p>
        </w:tc>
        <w:tc>
          <w:tcPr>
            <w:tcW w:type="dxa" w:w="2340"/>
            <w:gridSpan w:val="1"/>
          </w:tcPr>
          <w:p>
            <w:r>
              <w:t xml:space="preserve">1.0</w:t>
            </w:r>
          </w:p>
        </w:tc>
      </w:tr>
      <w:tr>
        <w:tc>
          <w:tcPr>
            <w:tcW w:type="dxa" w:w="2340"/>
            <w:gridSpan w:val="1"/>
            <w:shd w:fill="D9E2F3" w:val="clear"/>
          </w:tcPr>
          <w:p>
            <w:r>
              <w:rPr>
                <w:b/>
                <w:bCs/>
              </w:rPr>
              <w:t xml:space="preserve">Effective Date</w:t>
            </w:r>
          </w:p>
        </w:tc>
        <w:tc>
          <w:tcPr>
            <w:tcW w:type="dxa" w:w="2340"/>
            <w:gridSpan w:val="1"/>
          </w:tcPr>
          <w:p>
            <w:r>
              <w:t xml:space="preserve">________</w:t>
            </w:r>
          </w:p>
        </w:tc>
        <w:tc>
          <w:tcPr>
            <w:tcW w:type="dxa" w:w="2340"/>
            <w:gridSpan w:val="1"/>
            <w:shd w:fill="D9E2F3" w:val="clear"/>
          </w:tcPr>
          <w:p>
            <w:r>
              <w:rPr>
                <w:b/>
                <w:bCs/>
              </w:rPr>
              <w:t xml:space="preserve">Review Frequency</w:t>
            </w:r>
          </w:p>
        </w:tc>
        <w:tc>
          <w:tcPr>
            <w:tcW w:type="dxa" w:w="2340"/>
            <w:gridSpan w:val="1"/>
          </w:tcPr>
          <w:p>
            <w:r>
              <w:t xml:space="preserve">Annual, or on change</w:t>
            </w:r>
          </w:p>
        </w:tc>
      </w:tr>
      <w:tr>
        <w:tc>
          <w:tcPr>
            <w:tcW w:type="dxa" w:w="2340"/>
            <w:gridSpan w:val="1"/>
            <w:shd w:fill="D9E2F3" w:val="clear"/>
          </w:tcPr>
          <w:p>
            <w:r>
              <w:rPr>
                <w:b/>
                <w:bCs/>
              </w:rPr>
              <w:t xml:space="preserve">Prepared By</w:t>
            </w:r>
          </w:p>
        </w:tc>
        <w:tc>
          <w:tcPr>
            <w:tcW w:type="dxa" w:w="7020"/>
            <w:gridSpan w:val="3"/>
          </w:tcPr>
          <w:p>
            <w:r>
              <w:t xml:space="preserve">Quality Coordinator   Name: ________   Signature: ________</w:t>
            </w:r>
          </w:p>
        </w:tc>
      </w:tr>
      <w:tr>
        <w:tc>
          <w:tcPr>
            <w:tcW w:type="dxa" w:w="2340"/>
            <w:gridSpan w:val="1"/>
            <w:shd w:fill="D9E2F3" w:val="clear"/>
          </w:tcPr>
          <w:p>
            <w:r>
              <w:rPr>
                <w:b/>
                <w:bCs/>
              </w:rPr>
              <w:t xml:space="preserve">Approved By</w:t>
            </w:r>
          </w:p>
        </w:tc>
        <w:tc>
          <w:tcPr>
            <w:tcW w:type="dxa" w:w="7020"/>
            <w:gridSpan w:val="3"/>
          </w:tcPr>
          <w:p>
            <w:r>
              <w:t xml:space="preserve">Medical Superintendent   Name: ________   Signature: ________</w:t>
            </w:r>
          </w:p>
        </w:tc>
      </w:tr>
    </w:tbl>
    <w:p>
      <w:pPr>
        <w:spacing w:after="250"/>
      </w:pPr>
    </w:p>
    <w:p>
      <w:pPr>
        <w:pStyle w:val="Heading1"/>
        <w:spacing w:after="150" w:before="300"/>
      </w:pPr>
      <w:r>
        <w:t xml:space="preserve">1. Purpose</w:t>
      </w:r>
    </w:p>
    <w:p>
      <w:pPr>
        <w:spacing w:after="150"/>
      </w:pPr>
      <w:r>
        <w:t xml:space="preserve">This SOP describes how «Hospital Name» keeps laboratory staff safe — through training, PPE, MSDS access, and immunisation — in line with the laboratory safety programme.</w:t>
      </w:r>
    </w:p>
    <w:p>
      <w:pPr>
        <w:pStyle w:val="Heading1"/>
        <w:spacing w:after="150" w:before="300"/>
      </w:pPr>
      <w:r>
        <w:t xml:space="preserve">2. Scope</w:t>
      </w:r>
    </w:p>
    <w:p>
      <w:pPr>
        <w:spacing w:after="150"/>
      </w:pPr>
      <w:r>
        <w:t xml:space="preserve">Applies to every laboratory staff member and any ancillary staff who enter the laboratory.</w:t>
      </w:r>
    </w:p>
    <w:p>
      <w:pPr>
        <w:pStyle w:val="Heading1"/>
        <w:spacing w:after="150" w:before="300"/>
      </w:pPr>
      <w:r>
        <w:t xml:space="preserve">3. Responsibility</w:t>
      </w:r>
    </w:p>
    <w:p>
      <w:pPr>
        <w:spacing w:after="100"/>
      </w:pPr>
      <w:r>
        <w:rPr>
          <w:b/>
          <w:bCs/>
        </w:rPr>
        <w:t xml:space="preserve">Laboratory In-Charge: </w:t>
      </w:r>
      <w:r>
        <w:t xml:space="preserve">keeps the safety manual and MSDS set current and accessible.</w:t>
      </w:r>
    </w:p>
    <w:p>
      <w:pPr>
        <w:spacing w:after="100"/>
      </w:pPr>
      <w:r>
        <w:rPr>
          <w:b/>
          <w:bCs/>
        </w:rPr>
        <w:t xml:space="preserve">Every Laboratory Staff Member: </w:t>
      </w:r>
      <w:r>
        <w:t xml:space="preserve">uses required PPE and follows standard precautions at all times, without exception.</w:t>
      </w:r>
    </w:p>
    <w:p>
      <w:pPr>
        <w:pStyle w:val="Heading1"/>
        <w:spacing w:after="150" w:before="300"/>
      </w:pPr>
      <w:r>
        <w:t xml:space="preserve">4. Procedure</w:t>
      </w:r>
    </w:p>
    <w:p>
      <w:pPr>
        <w:spacing w:after="120"/>
      </w:pPr>
      <w:r>
        <w:rPr>
          <w:b/>
          <w:bCs/>
        </w:rPr>
        <w:t xml:space="preserve">1. </w:t>
      </w:r>
      <w:r>
        <w:t xml:space="preserve">Keep the laboratory safety manual available in the laboratory at all times, addressing workforce and equipment safety per identified hazards. This SOP's approach to biosafety risk assessment and PPE follows the WHO Laboratory Biosafety Manual, 4th edition — see Section 6, Reference 1.</w:t>
      </w:r>
    </w:p>
    <w:p>
      <w:pPr>
        <w:spacing w:after="120"/>
      </w:pPr>
      <w:r>
        <w:rPr>
          <w:b/>
          <w:bCs/>
        </w:rPr>
        <w:t xml:space="preserve">2. </w:t>
      </w:r>
      <w:r>
        <w:t xml:space="preserve">Keep an MSDS on file for every reagent in use, accessible to all staff who handle it.</w:t>
      </w:r>
    </w:p>
    <w:p>
      <w:pPr>
        <w:spacing w:after="120"/>
      </w:pPr>
      <w:r>
        <w:rPr>
          <w:b/>
          <w:bCs/>
        </w:rPr>
        <w:t xml:space="preserve">3. </w:t>
      </w:r>
      <w:r>
        <w:t xml:space="preserve">Identify training needs by job description, and provide induction plus annual safe-practice and MSDS training.</w:t>
      </w:r>
    </w:p>
    <w:p>
      <w:pPr>
        <w:spacing w:after="120"/>
      </w:pPr>
      <w:r>
        <w:rPr>
          <w:b/>
          <w:bCs/>
        </w:rPr>
        <w:t xml:space="preserve">4. </w:t>
      </w:r>
      <w:r>
        <w:t xml:space="preserve">Provide adequate PPE, disinfectants, spill kits, and fire extinguishers, and never allow work without required PPE.</w:t>
      </w:r>
    </w:p>
    <w:p>
      <w:pPr>
        <w:spacing w:after="120"/>
      </w:pPr>
      <w:r>
        <w:rPr>
          <w:b/>
          <w:bCs/>
        </w:rPr>
        <w:t xml:space="preserve">5. </w:t>
      </w:r>
      <w:r>
        <w:t xml:space="preserve">Ensure every laboratory staff member is immunised per the organisation's occupational-health schedule — Hepatitis B at minimum.</w:t>
      </w:r>
    </w:p>
    <w:p>
      <w:pPr>
        <w:spacing w:after="120"/>
      </w:pPr>
      <w:r>
        <w:rPr>
          <w:b/>
          <w:bCs/>
        </w:rPr>
        <w:t xml:space="preserve">6. </w:t>
      </w:r>
      <w:r>
        <w:t xml:space="preserve">Follow standard precautions at all times — this is not situational or optional.</w:t>
      </w:r>
    </w:p>
    <w:p>
      <w:pPr>
        <w:pStyle w:val="Heading1"/>
        <w:spacing w:after="150" w:before="300"/>
      </w:pPr>
      <w:r>
        <w:t xml:space="preserve">5. Records</w:t>
      </w:r>
    </w:p>
    <w:p>
      <w:pPr>
        <w:spacing w:after="150"/>
      </w:pPr>
      <w:r>
        <w:t xml:space="preserve">Supported by Records 13–21 of the AAC.7 Required Records pack.</w:t>
      </w:r>
    </w:p>
    <w:p>
      <w:pPr>
        <w:pStyle w:val="Heading1"/>
        <w:spacing w:after="150" w:before="300"/>
      </w:pPr>
      <w:r>
        <w:t xml:space="preserve">6. Related Documents</w:t>
      </w:r>
    </w:p>
    <w:p>
      <w:pPr>
        <w:pStyle w:val="ListParagraph"/>
        <w:numPr>
          <w:ilvl w:val="0"/>
          <w:numId w:val="1"/>
        </w:numPr>
        <w:spacing w:after="80"/>
      </w:pPr>
      <w:r>
        <w:t>Policy on Laboratory Quality Assurance and Safety Programme (HCO/AAC/POL/07) — AAC.7 policy</w:t>
      </w:r>
    </w:p>
    <w:p>
      <w:pPr>
        <w:pStyle w:val="ListParagraph"/>
        <w:numPr>
          <w:ilvl w:val="0"/>
          <w:numId w:val="1"/>
        </w:numPr>
        <w:spacing w:after="80"/>
      </w:pPr>
      <w:r>
        <w:t xml:space="preserve">Organisation-wide occupational health and safety programme</w:t>
      </w:r>
    </w:p>
    <w:p>
      <w:pPr>
        <w:pStyle w:val="Heading1"/>
        <w:spacing w:after="150" w:before="300"/>
      </w:pPr>
      <w:r>
        <w:t xml:space="preserve">7. Review</w:t>
      </w:r>
    </w:p>
    <w:p>
      <w:pPr>
        <w:spacing w:after="150"/>
      </w:pPr>
      <w:r>
        <w:t xml:space="preserve">Reviewed annually, or sooner after a serious safety incident.</w:t>
      </w:r>
    </w:p>
    <w:p>
      <w:pPr>
        <w:pStyle w:val="Heading1"/>
        <w:spacing w:after="150" w:before="300"/>
      </w:pPr>
      <w:r>
        <w:t xml:space="preserve">8. References</w:t>
      </w:r>
    </w:p>
    <w:p>
      <w:pPr>
        <w:pStyle w:val="ListParagraph"/>
        <w:numPr>
          <w:ilvl w:val="0"/>
          <w:numId w:val="1"/>
        </w:numPr>
        <w:spacing w:after="80"/>
      </w:pPr>
      <w:r>
        <w:t xml:space="preserve">World Health Organization. (2020). Laboratory biosafety manual (4th ed.). </w:t>
      </w:r>
      <w:hyperlink r:id="rId8">
        <w:r>
          <w:rPr>
            <w:color w:val="0563C1"/>
            <w:u w:val="single"/>
          </w:rPr>
          <w:t>https://www.who.int/publications/i/item/9789240011311</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www.who.int/publications/i/item/978924001131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2026-09-14T11:34:19.053Z</dcterms:created>
  <dcterms:modified xsi:type="dcterms:W3CDTF">2026-09-14T11:34:19.053Z</dcterms:modified>
</cp:coreProperties>
</file>

<file path=docProps/custom.xml><?xml version="1.0" encoding="utf-8"?>
<Properties xmlns="http://schemas.openxmlformats.org/officeDocument/2006/custom-properties" xmlns:vt="http://schemas.openxmlformats.org/officeDocument/2006/docPropsVTypes"/>
</file>