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Beliefs, Values and Involvement in Decision-Making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A list that exists only so the rights-display policy can display it, or a care plan written without the patient, misses the point of this policy.</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pStyle w:val="Heading1"/>
        <w:spacing w:after="120" w:before="280"/>
      </w:pPr>
      <w:r>
        <w:t xml:space="preserve">3. Policy standards</w:t>
      </w:r>
    </w:p>
    <w:p>
      <w:pPr>
        <w:spacing w:after="140"/>
      </w:pPr>
      <w:r>
        <w:rPr>
          <w:sz w:val="22"/>
          <w:szCs w:val="22"/>
        </w:rPr>
        <w:t>«Hospital Name» includes in patient and family rights the elements named below,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«Hospital Name» does not treat the rights-display board as a substitute for these rights being exercised, and does not rewrite the consent, cost-information, complaint-handling, transfusion/sedation/anaesthesia/surgical-consent, or assessment-and-discharge-summary policies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4. Withholding the treating doctor's name, care-plan information, or access to records when those are rights — except where the patient determines that information is not given to family.</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6. Sending a complaint or cost question only to the person the patient is complaining about, when those are rights listed here and the complaint-handling or cost-information policy owns the method.</w:t>
      </w:r>
    </w:p>
    <w:p>
      <w:pPr>
        <w:spacing w:after="80"/>
      </w:pPr>
      <w:r>
        <w:rPr>
          <w:sz w:val="22"/>
          <w:szCs w:val="22"/>
        </w:rPr>
        <w:t>7. Applying a Mental Healthcare Act process to every unconscious patient instead of the incapacity description in the informed-consent policy.</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Treating doctors and nurses protect dignity and privacy with screens, closed doors and low voices. A corridor discussion of diagnosis is a defect. A suspicion of neglect or abuse is reported under the relevant policy when it is a rights violation. Confidentiality as a record-keeping system remains with the records-management policy;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Refusal is received without punishment and recorded as refusal — the informed-consent policy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This step is a pointer. The method is the informed-consent policy. That consent happened before transfusion, sedation, anaesthesia or surgery remains with the transfusion, sedation, anaesthesia and surgical-consent policies.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This step is a pointer. Complaint mechanism and awareness of the procedure are covered by the complaint-handling policy. Pricing policy, tariff and expected-cost explanation are covered by the cost-information policy.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Access during care is given by «the treating doctor or the Patient Rights Officer on request», in a place that protects privacy. The discharge summary the patient takes away remains with the discharge-summary policy. The record as a file remains with the records-management policy. A relative who demands information against the patient's determination does not meet this right.</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The treating team tells the patient and family who is treating them, how the plan is progressing, and what healthcare needs apply. Ongoing education about healthcare needs as a teaching method remains with the patient-education policy.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Clinicians give those explanations in the course of decision-making. The consent conversation that must include procedure, risks, benefits, alternatives and who will perform remains with the informed-consent policy. Disease-process education remains with the patient-education policy.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The treating team consults the patient and/or family when the plan is prepared or modified. The «counsellor» or treating team provides multidisciplinary counselling when appropriate — «for example before major surgery, on request, or when the treating doctor documents that it is needed».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Accountable that these rights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Keeps the documented rights set aligned with the rights-display policy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Does not withhold cost information that is a patient right; detailed tariff method stays with the cost-information policy.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Pointers to the consent, cost-information and complaint-handling policies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This policy is reviewed «annually», and sooner when the rights-display, consent, education, cost-information, complaint-handling or assessment-and-care-planning policies are revised.</w:t>
      </w:r>
    </w:p>
    <w:p>
      <w:pPr>
        <w:pStyle w:val="Heading1"/>
        <w:spacing w:after="120" w:before="280"/>
      </w:pPr>
      <w:r>
        <w:t xml:space="preserve">8. Training and staff acknowledgement</w:t>
      </w:r>
    </w:p>
    <w:p>
      <w:pPr>
        <w:spacing w:after="140"/>
      </w:pPr>
      <w:r>
        <w:rPr>
          <w:sz w:val="22"/>
          <w:szCs w:val="22"/>
        </w:rPr>
        <w:t>All clinical staff and registration staff are trained on this policy at induction and «once a year» after that. Training covers the rights list, how to exercise it in care, and where the consent, cost-information and complaint-handling policies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chapter; not yet drafted)</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«PRE/POL/02»  |  Controlled document  |  Policy on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