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 Orders Are Written in a Uniform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It covers four elements.</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It covers four elements: authorised personnel; uniform location with patient identification; legibility, date, time and signature; and required medication details.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Personnel not on the list are not permitted to write medication orders. A verbal order received from an authorised prescriber is transcribed under the relevant policy.</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Root-cause analysis is required when the same order-writing defect recurs; the organisation's defined recurrence threshold applies, as documented in the hospital's Root Cause Analysis procedure.</w:t>
      </w:r>
    </w:p>
    <w:p>
      <w:pPr>
        <w:spacing w:after="140"/>
      </w:pPr>
      <w:r>
        <w:rPr>
          <w:sz w:val="22"/>
          <w:szCs w:val="22"/>
        </w:rPr>
        <w:t>This policy is reviewed «annually», and sooner when the prescribing or dispensing policy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MOM.4.</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MOM/POL/04  |  Controlled document  |  Policy on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