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It covers five elements.</w:t>
      </w:r>
    </w:p>
    <w:p>
      <w:pPr>
        <w:spacing w:after="140"/>
      </w:pPr>
      <w:r>
        <w:rPr>
          <w:sz w:val="22"/>
          <w:szCs w:val="22"/>
        </w:rPr>
        <w:t>Medication events captured here feed into the hospital's general incident reporting system. This policy covers the medication-specific capture and analysis; the general incident policy covers the organisation-wide incident system.</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It covers five elements: post-administration monitoring; medication changes; capture of near-misses, medication errors and adverse drug reactions; reporting and analysis; and corrective and preventive action.</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«Hospital Name» captures near-misses, medication errors and adverse drug reactions, reports and analyses them within a defined time frame, and takes corrective and preventive action. Medication events also feed into the hospital's general incident reporting system.</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When monitoring reveals an adverse effect, inadequate response or a change in patient condition, the treating doctor reviews the medication order and makes changes as clinically appropriate. Changes are documented as a new order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Every event is documented on the «medication incident form» which includes: patient name and ID, date and time, medication involved, description of event, severity assessment, and immediate action taken. The form is submitted to the «Pharmacy In-Charge» and a copy entered into the hospital's general incident reporting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Analysis uses «root-cause analysis for serious events and trend analysis for aggregate data». Findings are presented to the Multidisciplinary Medication Committee «quarterly» and to the general incident-reporting system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Actions are tracked to closure by the Quality Coordinator. Root-cause analysis is required when the same event type recurs; the organisation's defined recurrence threshold applies, as documented in the hospital's Root Cause Analysis procedure.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Tracks CAPA to closure; maintains aggregate trend data; links to the general incident-reporting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Cross-reference: medication events entered into the general incident-reporting system.</w:t>
      </w:r>
    </w:p>
    <w:p>
      <w:pPr>
        <w:spacing w:after="140"/>
      </w:pPr>
      <w:r>
        <w:rPr>
          <w:sz w:val="22"/>
          <w:szCs w:val="22"/>
        </w:rPr>
        <w:t>Root-cause analysis is required when the same event type recurs; the organisation's defined recurrence threshold applies, as documented in the hospital's Root Cause Analysis procedure.</w:t>
      </w:r>
    </w:p>
    <w:p>
      <w:pPr>
        <w:spacing w:after="140"/>
      </w:pPr>
      <w:r>
        <w:rPr>
          <w:sz w:val="22"/>
          <w:szCs w:val="22"/>
        </w:rPr>
        <w:t>This policy is reviewed «annually», and sooner when the administration policy or the incident-reporting policy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ADR</w:t>
            </w:r>
          </w:p>
        </w:tc>
        <w:tc>
          <w:tcPr>
            <w:tcW w:type="pct" w:w="22%"/>
            <w:tcBorders>
              <w:top w:val="single" w:color="999999" w:sz="4"/>
              <w:left w:val="single" w:color="999999" w:sz="4"/>
              <w:bottom w:val="single" w:color="999999" w:sz="4"/>
              <w:right w:val="single" w:color="999999" w:sz="4"/>
            </w:tcBorders>
            <w:shd w:fill="E8E8E8" w:val="clear"/>
          </w:tcPr>
          <w:p>
            <w:r>
              <w:rPr>
                <w:b w:val="0"/>
              </w:rPr>
              <w:t>adverse drug reaction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ADR Monitoring Centre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PvPI</w:t>
            </w:r>
          </w:p>
        </w:tc>
        <w:tc>
          <w:tcPr>
            <w:tcW w:type="pct" w:w="22%"/>
            <w:tcBorders>
              <w:top w:val="single" w:color="999999" w:sz="4"/>
              <w:left w:val="single" w:color="999999" w:sz="4"/>
              <w:bottom w:val="single" w:color="999999" w:sz="4"/>
              <w:right w:val="single" w:color="999999" w:sz="4"/>
            </w:tcBorders>
            <w:shd w:fill="E8E8E8" w:val="clear"/>
          </w:tcPr>
          <w:p>
            <w:r>
              <w:rPr>
                <w:b w:val="0"/>
              </w:rPr>
              <w:t>Pharmacovigilance Programme of India</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