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Narcotic Drugs and Psychotropic Substances, Chemotherapeutic Agents and Radioactive Agents Are Used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It covers five elements.</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It covers five elements: safe use; prescription by appropriate caregivers; secure storage; safe preparation and administration of chemotherapy and radioactive agents; and record-keeping.</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Administration follows the relevant policy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Root-cause analysis is required when the same safety lapse recurs; the organisation's defined recurrence threshold applies, as documented in the hospital's Root Cause Analysis procedure.</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NDPS</w:t>
            </w:r>
          </w:p>
        </w:tc>
        <w:tc>
          <w:tcPr>
            <w:tcW w:type="pct" w:w="22%"/>
            <w:tcBorders>
              <w:top w:val="single" w:color="999999" w:sz="4"/>
              <w:left w:val="single" w:color="999999" w:sz="4"/>
              <w:bottom w:val="single" w:color="999999" w:sz="4"/>
              <w:right w:val="single" w:color="999999" w:sz="4"/>
            </w:tcBorders>
            <w:shd w:fill="E8E8E8" w:val="clear"/>
          </w:tcPr>
          <w:p>
            <w:r>
              <w:rPr>
                <w:b w:val="0"/>
              </w:rPr>
              <w:t>Narcotic Drugs and Psychotropic Substances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MOM.8.</w:t>
      </w:r>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MOM/POL/08  |  Controlled document  |  Policy on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