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It covers three elements. The pharmacy-and-therapeutics policy places implants within the Multidisciplinary Medication Committee's scope; this policy covers the operational detail.</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It covers three elements: procurement guidance; patient and family counselling; and batch/serial-number traceability.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Counselling is documented in the medical record. A signed acknowledgement by the patient or authorised representative is obtained. Informed consent for the surgical procedure remains with the informed-consent policy;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3. **Discharge summary**: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Root-cause analysis is required when the same traceability gap recurs; the organisation's defined recurrence threshold applies, as documented in the hospital's Root Cause Analysis procedure.</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