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Initial Assessment and Reassessment</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«AAC/POL/03»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Patients cared for by the organisation undergo an established initial assessment and regular reassessment — so that care is planned, monitored and adjusted.</w:t>
      </w:r>
    </w:p>
    <w:p>
      <w:pPr>
        <w:pStyle w:val="Heading1"/>
        <w:spacing w:after="120" w:before="280"/>
      </w:pPr>
      <w:r>
        <w:t xml:space="preserve">1. Purpose</w:t>
      </w:r>
    </w:p>
    <w:p>
      <w:pPr>
        <w:spacing w:after="140"/>
      </w:pPr>
      <w:r>
        <w:rPr>
          <w:sz w:val="22"/>
          <w:szCs w:val="22"/>
        </w:rPr>
        <w:t xml:space="preserve">This policy says how «Hospital Name» performs initial assessment for out-patients, day-care, in-patients and emergency patients; documents a care plan from the initial assessment; reassesses patients at appropriate intervals; informs out-patients of follow-up; and identifies early warning signs for prompt intervention.</w:t>
      </w:r>
    </w:p>
    <w:p>
      <w:pPr>
        <w:spacing w:after="140"/>
      </w:pPr>
      <w:r>
        <w:rPr>
          <w:sz w:val="22"/>
          <w:szCs w:val="22"/>
        </w:rPr>
        <w:t>EWS — early warning score.</w:t>
      </w:r>
    </w:p>
    <w:p>
      <w:pPr>
        <w:pStyle w:val="Heading1"/>
        <w:spacing w:after="120" w:before="280"/>
      </w:pPr>
      <w:r>
        <w:t xml:space="preserve">2. Scope</w:t>
      </w:r>
    </w:p>
    <w:p>
      <w:pPr>
        <w:spacing w:after="140"/>
      </w:pPr>
      <w:r>
        <w:rPr>
          <w:sz w:val="22"/>
          <w:szCs w:val="22"/>
        </w:rPr>
        <w:t xml:space="preserve">This policy applies to treating doctors, nurses and allied health staff at «Hospital Name» who assess or reassess patients across out-patient, day-care, in-patient and emergency settings.</w:t>
      </w:r>
    </w:p>
    <w:p>
      <w:pPr>
        <w:spacing w:after="140"/>
      </w:pPr>
      <w:r>
        <w:rPr>
          <w:sz w:val="22"/>
          <w:szCs w:val="22"/>
        </w:rPr>
        <w:t>It covers five elements: initial assessment, documented care plan, reassessment, out-patient follow-up, and early warning guidelines.</w:t>
      </w:r>
    </w:p>
    <w:p>
      <w:pPr>
        <w:pStyle w:val="Heading1"/>
        <w:spacing w:after="120" w:before="280"/>
      </w:pPr>
      <w:r>
        <w:t xml:space="preserve">3. Policy standards</w:t>
      </w:r>
    </w:p>
    <w:p>
      <w:pPr>
        <w:spacing w:after="140"/>
      </w:pPr>
      <w:r>
        <w:rPr>
          <w:sz w:val="22"/>
          <w:szCs w:val="22"/>
        </w:rPr>
        <w:t xml:space="preserve">«Hospital Name» performs initial assessment for every out-patient, day-care, in-patient and emergency patient. The initial assessment results in a documented care plan. Patients are reassessed at appropriate intervals. Out-patients are informed of follow-up. Early warning guidelines are implemented to detect deterioration and initiate prompt intervention.</w:t>
      </w:r>
    </w:p>
    <w:p>
      <w:pPr>
        <w:spacing w:after="140"/>
      </w:pPr>
      <w:r>
        <w:rPr>
          <w:sz w:val="22"/>
          <w:szCs w:val="22"/>
        </w:rPr>
        <w:t xml:space="preserve">«Hospital Name» does not leave a deteriorating patient without escalation when the early warning score triggers, and does not proceed without a documented care plan.</w:t>
      </w:r>
    </w:p>
    <w:p>
      <w:pPr>
        <w:pStyle w:val="Heading1"/>
        <w:spacing w:after="120" w:before="280"/>
      </w:pPr>
      <w:r>
        <w:t xml:space="preserve">4. Non-negotiable rules</w:t>
      </w:r>
    </w:p>
    <w:p>
      <w:pPr>
        <w:spacing w:after="80"/>
      </w:pPr>
      <w:r>
        <w:rPr>
          <w:sz w:val="22"/>
          <w:szCs w:val="22"/>
        </w:rPr>
        <w:t xml:space="preserve">1. Do not admit or continue in-patient care without a documented care plan resulting from the initial assessment.</w:t>
      </w:r>
    </w:p>
    <w:p>
      <w:pPr>
        <w:spacing w:after="80"/>
      </w:pPr>
      <w:r>
        <w:rPr>
          <w:sz w:val="22"/>
          <w:szCs w:val="22"/>
        </w:rPr>
        <w:t xml:space="preserve">2. Do not ignore an early warning score trigger — escalate to the treating doctor or the designated responder within the time the guideline states.</w:t>
      </w:r>
    </w:p>
    <w:p>
      <w:pPr>
        <w:spacing w:after="80"/>
      </w:pPr>
      <w:r>
        <w:rPr>
          <w:sz w:val="22"/>
          <w:szCs w:val="22"/>
        </w:rPr>
        <w:t xml:space="preserve">3. Do not discharge or transfer an out-patient without informing them of the next follow-up, where appropriate.</w:t>
      </w:r>
    </w:p>
    <w:p>
      <w:pPr>
        <w:spacing w:after="80"/>
      </w:pPr>
      <w:r>
        <w:rPr>
          <w:sz w:val="22"/>
          <w:szCs w:val="22"/>
        </w:rPr>
        <w:t xml:space="preserve">4. Do not omit reassessment when the clinical condition changes or at the interval the care plan specifies.</w:t>
      </w:r>
    </w:p>
    <w:p>
      <w:pPr>
        <w:spacing w:after="80"/>
      </w:pPr>
      <w:r>
        <w:rPr>
          <w:sz w:val="22"/>
          <w:szCs w:val="22"/>
        </w:rPr>
        <w:t xml:space="preserve">5. Staff who find an assessment or EWS rule not followed report it the same shift to the «treating doctor» or the «Medical Superintendent».</w:t>
      </w:r>
    </w:p>
    <w:p>
      <w:pPr>
        <w:pStyle w:val="Heading1"/>
        <w:spacing w:after="120" w:before="280"/>
      </w:pPr>
      <w:r>
        <w:t xml:space="preserve">5. What we do</w:t>
      </w:r>
    </w:p>
    <w:p>
      <w:pPr>
        <w:pStyle w:val="Heading2"/>
        <w:spacing w:after="100" w:before="220"/>
      </w:pPr>
      <w:r>
        <w:t xml:space="preserve">5.1 Initial assessment</w:t>
      </w:r>
    </w:p>
    <w:p>
      <w:pPr>
        <w:spacing w:after="140"/>
      </w:pPr>
      <w:r>
        <w:rPr>
          <w:sz w:val="22"/>
          <w:szCs w:val="22"/>
        </w:rPr>
        <w:t xml:space="preserve">The treating doctor performs an initial assessment for every patient presenting to «Hospital Name»:</w:t>
      </w:r>
    </w:p>
    <w:p>
      <w:pPr>
        <w:pStyle w:val="ListParagraph"/>
        <w:numPr>
          <w:ilvl w:val="0"/>
          <w:numId w:val="1"/>
        </w:numPr>
        <w:spacing w:after="60"/>
      </w:pPr>
      <w:r>
        <w:rPr>
          <w:sz w:val="22"/>
          <w:szCs w:val="22"/>
        </w:rPr>
        <w:t xml:space="preserve">Out-patients: history, examination and provisional diagnosis documented in the out-patient record within «30 minutes of consultation start».</w:t>
      </w:r>
    </w:p>
    <w:p>
      <w:pPr>
        <w:pStyle w:val="ListParagraph"/>
        <w:numPr>
          <w:ilvl w:val="0"/>
          <w:numId w:val="1"/>
        </w:numPr>
        <w:spacing w:after="60"/>
      </w:pPr>
      <w:r>
        <w:rPr>
          <w:sz w:val="22"/>
          <w:szCs w:val="22"/>
        </w:rPr>
        <w:t xml:space="preserve">Day-care patients: pre-procedure assessment including fitness for the planned procedure.</w:t>
      </w:r>
    </w:p>
    <w:p>
      <w:pPr>
        <w:pStyle w:val="ListParagraph"/>
        <w:numPr>
          <w:ilvl w:val="0"/>
          <w:numId w:val="1"/>
        </w:numPr>
        <w:spacing w:after="60"/>
      </w:pPr>
      <w:r>
        <w:rPr>
          <w:sz w:val="22"/>
          <w:szCs w:val="22"/>
        </w:rPr>
        <w:t xml:space="preserve">In-patients: history, examination, provisional diagnosis and initial investigations documented within «one hour of admission».</w:t>
      </w:r>
    </w:p>
    <w:p>
      <w:pPr>
        <w:pStyle w:val="ListParagraph"/>
        <w:numPr>
          <w:ilvl w:val="0"/>
          <w:numId w:val="1"/>
        </w:numPr>
        <w:spacing w:after="60"/>
      </w:pPr>
      <w:r>
        <w:rPr>
          <w:sz w:val="22"/>
          <w:szCs w:val="22"/>
        </w:rPr>
        <w:t xml:space="preserve">Emergency patients: rapid assessment and stabilisation documented within «15 minutes of arrival»; full assessment within «one hour».</w:t>
      </w:r>
    </w:p>
    <w:p>
      <w:pPr>
        <w:spacing w:after="140"/>
      </w:pPr>
      <w:r>
        <w:rPr>
          <w:sz w:val="22"/>
          <w:szCs w:val="22"/>
        </w:rPr>
        <w:t xml:space="preserve">Nurses complete nursing assessment (vital signs, allergy status, pain score, fall risk) within «30 minutes of admission» for in-patients and emergency patients.</w:t>
      </w:r>
    </w:p>
    <w:p>
      <w:pPr>
        <w:pStyle w:val="Heading2"/>
        <w:spacing w:after="100" w:before="220"/>
      </w:pPr>
      <w:r>
        <w:t xml:space="preserve">5.2 Documented care plan</w:t>
      </w:r>
    </w:p>
    <w:p>
      <w:pPr>
        <w:spacing w:after="140"/>
      </w:pPr>
      <w:r>
        <w:rPr>
          <w:sz w:val="22"/>
          <w:szCs w:val="22"/>
        </w:rPr>
        <w:t xml:space="preserve">The initial assessment results in a documented care plan. The care plan includes:</w:t>
      </w:r>
    </w:p>
    <w:p>
      <w:pPr>
        <w:pStyle w:val="ListParagraph"/>
        <w:numPr>
          <w:ilvl w:val="0"/>
          <w:numId w:val="1"/>
        </w:numPr>
        <w:spacing w:after="60"/>
      </w:pPr>
      <w:r>
        <w:rPr>
          <w:sz w:val="22"/>
          <w:szCs w:val="22"/>
        </w:rPr>
        <w:t xml:space="preserve">provisional or confirmed diagnosis;</w:t>
      </w:r>
    </w:p>
    <w:p>
      <w:pPr>
        <w:pStyle w:val="ListParagraph"/>
        <w:numPr>
          <w:ilvl w:val="0"/>
          <w:numId w:val="1"/>
        </w:numPr>
        <w:spacing w:after="60"/>
      </w:pPr>
      <w:r>
        <w:rPr>
          <w:sz w:val="22"/>
          <w:szCs w:val="22"/>
        </w:rPr>
        <w:t xml:space="preserve">planned investigations;</w:t>
      </w:r>
    </w:p>
    <w:p>
      <w:pPr>
        <w:pStyle w:val="ListParagraph"/>
        <w:numPr>
          <w:ilvl w:val="0"/>
          <w:numId w:val="1"/>
        </w:numPr>
        <w:spacing w:after="60"/>
      </w:pPr>
      <w:r>
        <w:rPr>
          <w:sz w:val="22"/>
          <w:szCs w:val="22"/>
        </w:rPr>
        <w:t xml:space="preserve">treatment plan (medications, procedures, therapies);</w:t>
      </w:r>
    </w:p>
    <w:p>
      <w:pPr>
        <w:pStyle w:val="ListParagraph"/>
        <w:numPr>
          <w:ilvl w:val="0"/>
          <w:numId w:val="1"/>
        </w:numPr>
        <w:spacing w:after="60"/>
      </w:pPr>
      <w:r>
        <w:rPr>
          <w:sz w:val="22"/>
          <w:szCs w:val="22"/>
        </w:rPr>
        <w:t xml:space="preserve">nursing care requirements;</w:t>
      </w:r>
    </w:p>
    <w:p>
      <w:pPr>
        <w:pStyle w:val="ListParagraph"/>
        <w:numPr>
          <w:ilvl w:val="0"/>
          <w:numId w:val="1"/>
        </w:numPr>
        <w:spacing w:after="60"/>
      </w:pPr>
      <w:r>
        <w:rPr>
          <w:sz w:val="22"/>
          <w:szCs w:val="22"/>
        </w:rPr>
        <w:t xml:space="preserve">expected duration of stay for in-patients;</w:t>
      </w:r>
    </w:p>
    <w:p>
      <w:pPr>
        <w:pStyle w:val="ListParagraph"/>
        <w:numPr>
          <w:ilvl w:val="0"/>
          <w:numId w:val="1"/>
        </w:numPr>
        <w:spacing w:after="60"/>
      </w:pPr>
      <w:r>
        <w:rPr>
          <w:sz w:val="22"/>
          <w:szCs w:val="22"/>
        </w:rPr>
        <w:t>goals of care discussed with the patient and/or family.</w:t>
      </w:r>
    </w:p>
    <w:p>
      <w:pPr>
        <w:spacing w:after="140"/>
      </w:pPr>
      <w:r>
        <w:rPr>
          <w:sz w:val="22"/>
          <w:szCs w:val="22"/>
        </w:rPr>
        <w:t xml:space="preserve">The care plan is recorded in the patient file and is accessible to all treating team members. It is reviewed and updated at every reassessment.</w:t>
      </w:r>
    </w:p>
    <w:p>
      <w:pPr>
        <w:pStyle w:val="Heading2"/>
        <w:spacing w:after="100" w:before="220"/>
      </w:pPr>
      <w:r>
        <w:t xml:space="preserve">5.3 Reassessment</w:t>
      </w:r>
    </w:p>
    <w:p>
      <w:pPr>
        <w:spacing w:after="140"/>
      </w:pPr>
      <w:r>
        <w:rPr>
          <w:sz w:val="22"/>
          <w:szCs w:val="22"/>
        </w:rPr>
        <w:t xml:space="preserve">Patients are reassessed at appropriate intervals to determine their response to treatment and to plan further treatment or discharge:</w:t>
      </w:r>
    </w:p>
    <w:p>
      <w:pPr>
        <w:pStyle w:val="ListParagraph"/>
        <w:numPr>
          <w:ilvl w:val="0"/>
          <w:numId w:val="1"/>
        </w:numPr>
        <w:spacing w:after="60"/>
      </w:pPr>
      <w:r>
        <w:rPr>
          <w:sz w:val="22"/>
          <w:szCs w:val="22"/>
        </w:rPr>
        <w:t xml:space="preserve">In-patients: reassessed by the treating doctor at least «once daily» and by nurses at least «once per shift».</w:t>
      </w:r>
    </w:p>
    <w:p>
      <w:pPr>
        <w:pStyle w:val="ListParagraph"/>
        <w:numPr>
          <w:ilvl w:val="0"/>
          <w:numId w:val="1"/>
        </w:numPr>
        <w:spacing w:after="60"/>
      </w:pPr>
      <w:r>
        <w:rPr>
          <w:sz w:val="22"/>
          <w:szCs w:val="22"/>
        </w:rPr>
        <w:t xml:space="preserve">Emergency patients: reassessed as clinical condition requires, at minimum before any decision to admit, discharge or transfer.</w:t>
      </w:r>
    </w:p>
    <w:p>
      <w:pPr>
        <w:pStyle w:val="ListParagraph"/>
        <w:numPr>
          <w:ilvl w:val="0"/>
          <w:numId w:val="1"/>
        </w:numPr>
        <w:spacing w:after="60"/>
      </w:pPr>
      <w:r>
        <w:rPr>
          <w:sz w:val="22"/>
          <w:szCs w:val="22"/>
        </w:rPr>
        <w:t xml:space="preserve">Day-care patients: reassessed before discharge from the day-care unit.</w:t>
      </w:r>
    </w:p>
    <w:p>
      <w:pPr>
        <w:spacing w:after="140"/>
      </w:pPr>
      <w:r>
        <w:rPr>
          <w:sz w:val="22"/>
          <w:szCs w:val="22"/>
        </w:rPr>
        <w:t xml:space="preserve">Reassessment findings, response to treatment and any change in the care plan are documented in the patient file.</w:t>
      </w:r>
    </w:p>
    <w:p>
      <w:pPr>
        <w:pStyle w:val="Heading2"/>
        <w:spacing w:after="100" w:before="220"/>
      </w:pPr>
      <w:r>
        <w:t xml:space="preserve">5.4 Out-patient follow-up information</w:t>
      </w:r>
    </w:p>
    <w:p>
      <w:pPr>
        <w:spacing w:after="140"/>
      </w:pPr>
      <w:r>
        <w:rPr>
          <w:sz w:val="22"/>
          <w:szCs w:val="22"/>
        </w:rPr>
        <w:t xml:space="preserve">Out-patients are informed of their next follow-up, where appropriate. The treating doctor or nurse tells the patient:</w:t>
      </w:r>
    </w:p>
    <w:p>
      <w:pPr>
        <w:pStyle w:val="ListParagraph"/>
        <w:numPr>
          <w:ilvl w:val="0"/>
          <w:numId w:val="1"/>
        </w:numPr>
        <w:spacing w:after="60"/>
      </w:pPr>
      <w:r>
        <w:rPr>
          <w:sz w:val="22"/>
          <w:szCs w:val="22"/>
        </w:rPr>
        <w:t xml:space="preserve">when to return (date or timeframe);</w:t>
      </w:r>
    </w:p>
    <w:p>
      <w:pPr>
        <w:pStyle w:val="ListParagraph"/>
        <w:numPr>
          <w:ilvl w:val="0"/>
          <w:numId w:val="1"/>
        </w:numPr>
        <w:spacing w:after="60"/>
      </w:pPr>
      <w:r>
        <w:rPr>
          <w:sz w:val="22"/>
          <w:szCs w:val="22"/>
        </w:rPr>
        <w:t xml:space="preserve">what to watch for that should prompt an earlier visit;</w:t>
      </w:r>
    </w:p>
    <w:p>
      <w:pPr>
        <w:pStyle w:val="ListParagraph"/>
        <w:numPr>
          <w:ilvl w:val="0"/>
          <w:numId w:val="1"/>
        </w:numPr>
        <w:spacing w:after="60"/>
      </w:pPr>
      <w:r>
        <w:rPr>
          <w:sz w:val="22"/>
          <w:szCs w:val="22"/>
        </w:rPr>
        <w:t xml:space="preserve">whom to contact if symptoms worsen before the follow-up date.</w:t>
      </w:r>
    </w:p>
    <w:p>
      <w:pPr>
        <w:spacing w:after="140"/>
      </w:pPr>
      <w:r>
        <w:rPr>
          <w:sz w:val="22"/>
          <w:szCs w:val="22"/>
        </w:rPr>
        <w:t xml:space="preserve">The follow-up instruction is recorded in the out-patient record and, where the hospital issues a follow-up card, on the card.</w:t>
      </w:r>
    </w:p>
    <w:p>
      <w:pPr>
        <w:pStyle w:val="Heading2"/>
        <w:spacing w:after="100" w:before="220"/>
      </w:pPr>
      <w:r>
        <w:t xml:space="preserve">5.5 Early warning guidelines</w:t>
      </w:r>
    </w:p>
    <w:p>
      <w:pPr>
        <w:spacing w:after="140"/>
      </w:pPr>
      <w:r>
        <w:rPr>
          <w:sz w:val="22"/>
          <w:szCs w:val="22"/>
        </w:rPr>
        <w:t xml:space="preserve">«Hospital Name» implements guidelines and processes to identify early warning signs of change or deterioration in clinical conditions for initiating prompt intervention. The guideline uses an early warning score (EWS) — «a modified early warning score (MEWS) or the hospital's chosen validated tool».</w:t>
      </w:r>
    </w:p>
    <w:p>
      <w:pPr>
        <w:spacing w:after="140"/>
      </w:pPr>
      <w:r>
        <w:rPr>
          <w:sz w:val="22"/>
          <w:szCs w:val="22"/>
        </w:rPr>
        <w:t xml:space="preserve">EWS parameters: «respiratory rate, oxygen saturation, heart rate, systolic blood pressure, level of consciousness, temperature».</w:t>
      </w:r>
    </w:p>
    <w:p>
      <w:pPr>
        <w:spacing w:after="140"/>
      </w:pPr>
      <w:r>
        <w:rPr>
          <w:sz w:val="22"/>
          <w:szCs w:val="22"/>
        </w:rPr>
        <w:t xml:space="preserve">Frequency of observations: «every four hours for routine in-patients; more frequently as the score or clinical condition dictates».</w:t>
      </w:r>
    </w:p>
    <w:p>
      <w:pPr>
        <w:spacing w:after="140"/>
      </w:pPr>
      <w:r>
        <w:rPr>
          <w:sz w:val="22"/>
          <w:szCs w:val="22"/>
        </w:rPr>
        <w:t xml:space="preserve">Escalation: when the EWS reaches the trigger threshold, the nurse contacts the treating doctor within «15 minutes». The treating doctor reviews the patient within «30 minutes» of being contacted. The response is documented.</w:t>
      </w:r>
    </w:p>
    <w:p>
      <w:pPr>
        <w:spacing w:after="140"/>
      </w:pPr>
      <w:r>
        <w:rPr>
          <w:sz w:val="22"/>
          <w:szCs w:val="22"/>
        </w:rPr>
        <w:t xml:space="preserve">Training: all nursing staff and doctors are trained on the EWS tool at induction and «annually».</w:t>
      </w:r>
    </w:p>
    <w:p>
      <w:pPr>
        <w:pStyle w:val="Heading1"/>
        <w:spacing w:after="120" w:before="280"/>
      </w:pPr>
      <w:r>
        <w:t xml:space="preserve">6. Stop-work authority</w:t>
      </w:r>
    </w:p>
    <w:p>
      <w:pPr>
        <w:spacing w:after="140"/>
      </w:pPr>
      <w:r>
        <w:rPr>
          <w:sz w:val="22"/>
          <w:szCs w:val="22"/>
        </w:rPr>
        <w:t xml:space="preserve">Do not leave a deteriorating patient without escalation when the early warning score triggers — escalate immediately per the EWS protocol and document the response.</w:t>
      </w:r>
    </w:p>
    <w:p>
      <w:pPr>
        <w:spacing w:after="140"/>
      </w:pPr>
      <w:r>
        <w:rPr>
          <w:sz w:val="22"/>
          <w:szCs w:val="22"/>
        </w:rPr>
        <w:t xml:space="preserve">Do not proceed with in-patient care without a documented care plan from the initial assessment — complete the assessment and document the plan before proceeding with treatment beyond emergency stabilisation.</w:t>
      </w:r>
    </w:p>
    <w:p>
      <w:pPr>
        <w:spacing w:after="140"/>
      </w:pPr>
      <w:r>
        <w:rPr>
          <w:sz w:val="22"/>
          <w:szCs w:val="22"/>
        </w:rPr>
        <w:t xml:space="preserve">Stop-work applies to the clinical pathway, not to emergency stabilisation.</w:t>
      </w:r>
    </w:p>
    <w:p>
      <w:pPr>
        <w:spacing w:after="140"/>
      </w:pPr>
      <w:r>
        <w:rPr>
          <w:sz w:val="22"/>
          <w:szCs w:val="22"/>
        </w:rPr>
        <w:t xml:space="preserve">The person responsible tells the «Medical Superintendent» or the «treating doctor» the same shift. Refusing to proceed without a documented care plan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assessment, care planning, reassessment and EWS processes are defined and followed.</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Perform initial assessment, document the care plan, reassess at intervals, and respond to EWS triggers.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Complete nursing assessment, perform EWS observations, escalate triggers, and document reassessment.</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assessment or EWS defects recur.</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Initial assessment completed within defined timeframes for each patient category.</w:t>
      </w:r>
    </w:p>
    <w:p>
      <w:pPr>
        <w:pStyle w:val="ListParagraph"/>
        <w:numPr>
          <w:ilvl w:val="0"/>
          <w:numId w:val="1"/>
        </w:numPr>
        <w:spacing w:after="60"/>
      </w:pPr>
      <w:r>
        <w:rPr>
          <w:sz w:val="22"/>
          <w:szCs w:val="22"/>
        </w:rPr>
        <w:t xml:space="preserve">Documented care plan present in every in-patient file.</w:t>
      </w:r>
    </w:p>
    <w:p>
      <w:pPr>
        <w:pStyle w:val="ListParagraph"/>
        <w:numPr>
          <w:ilvl w:val="0"/>
          <w:numId w:val="1"/>
        </w:numPr>
        <w:spacing w:after="60"/>
      </w:pPr>
      <w:r>
        <w:rPr>
          <w:sz w:val="22"/>
          <w:szCs w:val="22"/>
        </w:rPr>
        <w:t xml:space="preserve">Reassessment documented at defined intervals.</w:t>
      </w:r>
    </w:p>
    <w:p>
      <w:pPr>
        <w:pStyle w:val="ListParagraph"/>
        <w:numPr>
          <w:ilvl w:val="0"/>
          <w:numId w:val="1"/>
        </w:numPr>
        <w:spacing w:after="60"/>
      </w:pPr>
      <w:r>
        <w:rPr>
          <w:sz w:val="22"/>
          <w:szCs w:val="22"/>
        </w:rPr>
        <w:t xml:space="preserve">Out-patient follow-up information recorded.</w:t>
      </w:r>
    </w:p>
    <w:p>
      <w:pPr>
        <w:pStyle w:val="ListParagraph"/>
        <w:numPr>
          <w:ilvl w:val="0"/>
          <w:numId w:val="1"/>
        </w:numPr>
        <w:spacing w:after="60"/>
      </w:pPr>
      <w:r>
        <w:rPr>
          <w:sz w:val="22"/>
          <w:szCs w:val="22"/>
        </w:rPr>
        <w:t xml:space="preserve">EWS observations at defined frequency; triggers escalated and responded to within time limits.</w:t>
      </w:r>
    </w:p>
    <w:p>
      <w:pPr>
        <w:pStyle w:val="ListParagraph"/>
        <w:numPr>
          <w:ilvl w:val="0"/>
          <w:numId w:val="1"/>
        </w:numPr>
        <w:spacing w:after="60"/>
      </w:pPr>
      <w:r>
        <w:rPr>
          <w:sz w:val="22"/>
          <w:szCs w:val="22"/>
        </w:rPr>
        <w:t xml:space="preserve">Training records for EWS tool.</w:t>
      </w:r>
    </w:p>
    <w:p>
      <w:pPr>
        <w:spacing w:after="140"/>
      </w:pPr>
      <w:r>
        <w:rPr>
          <w:sz w:val="22"/>
          <w:szCs w:val="22"/>
        </w:rPr>
        <w:t>Root-cause analysis is required when the same assessment or EWS defect recurs; the organisation's defined recurrence threshold applies, as documented in the hospital's Root Cause Analysis procedure.</w:t>
      </w:r>
    </w:p>
    <w:p>
      <w:pPr>
        <w:spacing w:after="140"/>
      </w:pPr>
      <w:r>
        <w:rPr>
          <w:sz w:val="22"/>
          <w:szCs w:val="22"/>
        </w:rPr>
        <w:t xml:space="preserve">This policy is reviewed «annually», and sooner when clinical protocols, EWS tools or staffing patterns change.</w:t>
      </w:r>
    </w:p>
    <w:p>
      <w:pPr>
        <w:pStyle w:val="Heading1"/>
        <w:spacing w:after="120" w:before="280"/>
      </w:pPr>
      <w:r>
        <w:t xml:space="preserve">9. Training and staff acknowledgement</w:t>
      </w:r>
    </w:p>
    <w:p>
      <w:pPr>
        <w:spacing w:after="140"/>
      </w:pPr>
      <w:r>
        <w:rPr>
          <w:sz w:val="22"/>
          <w:szCs w:val="22"/>
        </w:rPr>
        <w:t xml:space="preserve">All treating doctors, nurses and allied health staff are trained on this policy at induction and «once a year» after that. Training covers initial assessment, care plan documentation, reassessment, follow-up information, and the EWS tool and escalation.</w:t>
      </w:r>
    </w:p>
    <w:p>
      <w:pPr>
        <w:spacing w:after="140"/>
      </w:pPr>
      <w:r>
        <w:rPr>
          <w:sz w:val="22"/>
          <w:szCs w:val="22"/>
        </w:rPr>
        <w:t xml:space="preserve">Staff acknowledgement</w:t>
      </w:r>
    </w:p>
    <w:p>
      <w:pPr>
        <w:spacing w:after="140"/>
      </w:pPr>
      <w:r>
        <w:rPr>
          <w:sz w:val="22"/>
          <w:szCs w:val="22"/>
        </w:rPr>
        <w:t xml:space="preserve">I have read this Initial Assessment and Reassessment policy of «Hospital Name». I will assess, plan, reassess and escalate as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10. Distribution</w:t>
      </w:r>
    </w:p>
    <w:p>
      <w:pPr>
        <w:spacing w:after="140"/>
      </w:pPr>
      <w:r>
        <w:rPr>
          <w:sz w:val="22"/>
          <w:szCs w:val="22"/>
        </w:rPr>
        <w:t xml:space="preserve">Official master copy: office of the Medical Superintendent, «Hospital Name», with the Quality Coordinator.</w:t>
      </w:r>
    </w:p>
    <w:p>
      <w:pPr>
        <w:spacing w:after="140"/>
      </w:pPr>
      <w:r>
        <w:rPr>
          <w:sz w:val="22"/>
          <w:szCs w:val="22"/>
        </w:rPr>
        <w:t xml:space="preserve">Copies issued to: emergency; every in-patient ward; out-patient; day-care; nursing administration.</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11.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AAC</w:t>
            </w:r>
          </w:p>
        </w:tc>
        <w:tc>
          <w:tcPr>
            <w:tcW w:type="pct" w:w="22%"/>
            <w:tcBorders>
              <w:top w:val="single" w:color="999999" w:sz="4"/>
              <w:left w:val="single" w:color="999999" w:sz="4"/>
              <w:bottom w:val="single" w:color="999999" w:sz="4"/>
              <w:right w:val="single" w:color="999999" w:sz="4"/>
            </w:tcBorders>
            <w:shd w:fill="E8E8E8" w:val="clear"/>
          </w:tcPr>
          <w:p>
            <w:r>
              <w:rPr>
                <w:b w:val="0"/>
              </w:rPr>
              <w:t>Access, Assessment and Continuity of Care (NABH SHCO chapter 2)</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EWS</w:t>
            </w:r>
          </w:p>
        </w:tc>
        <w:tc>
          <w:tcPr>
            <w:tcW w:type="pct" w:w="22%"/>
            <w:tcBorders>
              <w:top w:val="single" w:color="999999" w:sz="4"/>
              <w:left w:val="single" w:color="999999" w:sz="4"/>
              <w:bottom w:val="single" w:color="999999" w:sz="4"/>
              <w:right w:val="single" w:color="999999" w:sz="4"/>
            </w:tcBorders>
            <w:shd w:fill="E8E8E8" w:val="clear"/>
          </w:tcPr>
          <w:p>
            <w:r>
              <w:rPr>
                <w:b w:val="0"/>
              </w:rPr>
              <w:t>early warning score</w:t>
            </w:r>
          </w:p>
        </w:tc>
      </w:tr>
      <w:tr>
        <w:tc>
          <w:tcPr>
            <w:tcW w:type="pct" w:w="22%"/>
            <w:tcBorders>
              <w:top w:val="single" w:color="999999" w:sz="4"/>
              <w:left w:val="single" w:color="999999" w:sz="4"/>
              <w:bottom w:val="single" w:color="999999" w:sz="4"/>
              <w:right w:val="single" w:color="999999" w:sz="4"/>
            </w:tcBorders>
            <w:shd w:fill="E8E8E8" w:val="clear"/>
          </w:tcPr>
          <w:p>
            <w:r>
              <w:rPr>
                <w:b w:val="0"/>
              </w:rPr>
              <w:t>MEWS</w:t>
            </w:r>
          </w:p>
        </w:tc>
        <w:tc>
          <w:tcPr>
            <w:tcW w:type="pct" w:w="22%"/>
            <w:tcBorders>
              <w:top w:val="single" w:color="999999" w:sz="4"/>
              <w:left w:val="single" w:color="999999" w:sz="4"/>
              <w:bottom w:val="single" w:color="999999" w:sz="4"/>
              <w:right w:val="single" w:color="999999" w:sz="4"/>
            </w:tcBorders>
            <w:shd w:fill="E8E8E8" w:val="clear"/>
          </w:tcPr>
          <w:p>
            <w:r>
              <w:rPr>
                <w:b w:val="0"/>
              </w:rPr>
              <w:t>modified early warning score</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r>
        <w:tc>
          <w:tcPr>
            <w:tcW w:type="pct" w:w="22%"/>
            <w:tcBorders>
              <w:top w:val="single" w:color="999999" w:sz="4"/>
              <w:left w:val="single" w:color="999999" w:sz="4"/>
              <w:bottom w:val="single" w:color="999999" w:sz="4"/>
              <w:right w:val="single" w:color="999999" w:sz="4"/>
            </w:tcBorders>
            <w:shd w:fill="E8E8E8" w:val="clear"/>
          </w:tcPr>
          <w:p>
            <w:r>
              <w:rPr>
                <w:b w:val="0"/>
              </w:rPr>
              <w:t>TAT</w:t>
            </w:r>
          </w:p>
        </w:tc>
        <w:tc>
          <w:tcPr>
            <w:tcW w:type="pct" w:w="22%"/>
            <w:tcBorders>
              <w:top w:val="single" w:color="999999" w:sz="4"/>
              <w:left w:val="single" w:color="999999" w:sz="4"/>
              <w:bottom w:val="single" w:color="999999" w:sz="4"/>
              <w:right w:val="single" w:color="999999" w:sz="4"/>
            </w:tcBorders>
            <w:shd w:fill="E8E8E8" w:val="clear"/>
          </w:tcPr>
          <w:p>
            <w:r>
              <w:rPr>
                <w:b w:val="0"/>
              </w:rPr>
              <w:t>turnaround time</w:t>
            </w:r>
          </w:p>
        </w:tc>
      </w:tr>
    </w:tbl>
    <w:p>
      <w:pPr>
        <w:pStyle w:val="Heading1"/>
        <w:spacing w:after="120" w:before="280"/>
      </w:pPr>
      <w:r>
        <w:t>12. Traceability to NABH SHCO 3rd Edition AAC.3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AAC.3.a</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initial assessment for the out-patients, day-care, in-patients and emergency patients is done.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Initial assessment; Section 4 items 1,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(perform); nurses (nursing assessment);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AAC.3.b</w:t>
            </w:r>
          </w:p>
        </w:tc>
        <w:tc>
          <w:tcPr>
            <w:tcW w:type="pct" w:w="12%"/>
            <w:tcBorders>
              <w:top w:val="single" w:color="999999" w:sz="4"/>
              <w:left w:val="single" w:color="999999" w:sz="4"/>
              <w:bottom w:val="single" w:color="999999" w:sz="4"/>
              <w:right w:val="single" w:color="999999" w:sz="4"/>
            </w:tcBorders>
          </w:tcPr>
          <w:p>
            <w:r>
              <w:t>Achievement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initial assessment results in a documented care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Documented care plan;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(document); nurses (nursing care requirements)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AAC.3.c</w:t>
            </w:r>
          </w:p>
        </w:tc>
        <w:tc>
          <w:tcPr>
            <w:tcW w:type="pct" w:w="12%"/>
            <w:tcBorders>
              <w:top w:val="single" w:color="999999" w:sz="4"/>
              <w:left w:val="single" w:color="999999" w:sz="4"/>
              <w:bottom w:val="single" w:color="999999" w:sz="4"/>
              <w:right w:val="single" w:color="999999" w:sz="4"/>
            </w:tcBorders>
          </w:tcPr>
          <w:p>
            <w:r>
              <w:t>CORE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are reassessed at appropriate intervals to determine their response to treatment and to plan further treatment or discharge.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Reassessment;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(reassess); nurses (shift reassessment)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AAC.3.d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Out-patients are informed of their next follow-up, where appropriate.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Out-patient follow-up information;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or nurses (inform); registration staff (follow-up card where used)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AAC.3.e</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organization lays down guidelines and implements processes to identify early warning signs of change or deterioration in clinical conditions for initiating prompt intervention.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Early warning guidelines;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(observe and escalate); treating doctors (respond); Quality Coordinator (audit)</w:t>
            </w:r>
          </w:p>
        </w:tc>
      </w:tr>
    </w:tbl>
    <w:p>
      <w:pPr>
        <w:pStyle w:val="Heading1"/>
        <w:spacing w:after="120" w:before="280"/>
      </w:pPr>
      <w:r>
        <w:t>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AAC.3.a — The initial assessment for the out-patients, day-care, in-patients and emergency patients is done.</w:t>
      </w:r>
    </w:p>
    <w:p>
      <w:pPr>
        <w:pStyle w:val="ListParagraph"/>
        <w:numPr>
          <w:ilvl w:val="0"/>
          <w:numId w:val="1"/>
        </w:numPr>
        <w:spacing w:after="60"/>
      </w:pPr>
      <w:r>
        <w:rPr>
          <w:sz w:val="22"/>
          <w:szCs w:val="22"/>
        </w:rPr>
        <w:t xml:space="preserve">Initial assessment records for out-patient, day-care, in-patient and emergency patients.</w:t>
      </w:r>
    </w:p>
    <w:p>
      <w:pPr>
        <w:pStyle w:val="ListParagraph"/>
        <w:numPr>
          <w:ilvl w:val="0"/>
          <w:numId w:val="1"/>
        </w:numPr>
        <w:spacing w:after="60"/>
      </w:pPr>
      <w:r>
        <w:rPr>
          <w:sz w:val="22"/>
          <w:szCs w:val="22"/>
        </w:rPr>
        <w:t xml:space="preserve">Nursing assessment records (vital signs, allergy, pain, fall risk).</w:t>
      </w:r>
    </w:p>
    <w:p>
      <w:pPr>
        <w:pStyle w:val="ListParagraph"/>
        <w:numPr>
          <w:ilvl w:val="0"/>
          <w:numId w:val="1"/>
        </w:numPr>
        <w:spacing w:after="60"/>
      </w:pPr>
      <w:r>
        <w:rPr>
          <w:sz w:val="22"/>
          <w:szCs w:val="22"/>
        </w:rPr>
        <w:t xml:space="preserve">Quarterly audit of assessment completion within defined timeframes.</w:t>
      </w:r>
    </w:p>
    <w:p>
      <w:pPr>
        <w:pStyle w:val="Heading2"/>
        <w:spacing w:after="100" w:before="220"/>
      </w:pPr>
      <w:r>
        <w:t xml:space="preserve">AAC.3.b — The initial assessment results in a documented care plan.</w:t>
      </w:r>
    </w:p>
    <w:p>
      <w:pPr>
        <w:pStyle w:val="ListParagraph"/>
        <w:numPr>
          <w:ilvl w:val="0"/>
          <w:numId w:val="1"/>
        </w:numPr>
        <w:spacing w:after="60"/>
      </w:pPr>
      <w:r>
        <w:rPr>
          <w:sz w:val="22"/>
          <w:szCs w:val="22"/>
        </w:rPr>
        <w:t xml:space="preserve">Care plan in every in-patient file with diagnosis, investigations, treatment and goals.</w:t>
      </w:r>
    </w:p>
    <w:p>
      <w:pPr>
        <w:pStyle w:val="ListParagraph"/>
        <w:numPr>
          <w:ilvl w:val="0"/>
          <w:numId w:val="1"/>
        </w:numPr>
        <w:spacing w:after="60"/>
      </w:pPr>
      <w:r>
        <w:rPr>
          <w:sz w:val="22"/>
          <w:szCs w:val="22"/>
        </w:rPr>
        <w:t xml:space="preserve">Evidence of care plan review and update at reassessment.</w:t>
      </w:r>
    </w:p>
    <w:p>
      <w:pPr>
        <w:pStyle w:val="ListParagraph"/>
        <w:numPr>
          <w:ilvl w:val="0"/>
          <w:numId w:val="1"/>
        </w:numPr>
        <w:spacing w:after="60"/>
      </w:pPr>
      <w:r>
        <w:rPr>
          <w:sz w:val="22"/>
          <w:szCs w:val="22"/>
        </w:rPr>
        <w:t xml:space="preserve">Quarterly audit sample of care plan completeness.</w:t>
      </w:r>
    </w:p>
    <w:p>
      <w:pPr>
        <w:pStyle w:val="Heading2"/>
        <w:spacing w:after="100" w:before="220"/>
      </w:pPr>
      <w:r>
        <w:t xml:space="preserve">AAC.3.c — Patients are reassessed at appropriate intervals to determine their response to treatment and to plan further treatment or discharge.</w:t>
      </w:r>
    </w:p>
    <w:p>
      <w:pPr>
        <w:pStyle w:val="ListParagraph"/>
        <w:numPr>
          <w:ilvl w:val="0"/>
          <w:numId w:val="1"/>
        </w:numPr>
        <w:spacing w:after="60"/>
      </w:pPr>
      <w:r>
        <w:rPr>
          <w:sz w:val="22"/>
          <w:szCs w:val="22"/>
        </w:rPr>
        <w:t xml:space="preserve">Reassessment entries in patient files with response to treatment.</w:t>
      </w:r>
    </w:p>
    <w:p>
      <w:pPr>
        <w:pStyle w:val="ListParagraph"/>
        <w:numPr>
          <w:ilvl w:val="0"/>
          <w:numId w:val="1"/>
        </w:numPr>
        <w:spacing w:after="60"/>
      </w:pPr>
      <w:r>
        <w:rPr>
          <w:sz w:val="22"/>
          <w:szCs w:val="22"/>
        </w:rPr>
        <w:t xml:space="preserve">Evidence of care plan update after reassessment.</w:t>
      </w:r>
    </w:p>
    <w:p>
      <w:pPr>
        <w:pStyle w:val="ListParagraph"/>
        <w:numPr>
          <w:ilvl w:val="0"/>
          <w:numId w:val="1"/>
        </w:numPr>
        <w:spacing w:after="60"/>
      </w:pPr>
      <w:r>
        <w:rPr>
          <w:sz w:val="22"/>
          <w:szCs w:val="22"/>
        </w:rPr>
        <w:t xml:space="preserve">Quarterly audit sample of reassessment frequency.</w:t>
      </w:r>
    </w:p>
    <w:p>
      <w:pPr>
        <w:pStyle w:val="Heading2"/>
        <w:spacing w:after="100" w:before="220"/>
      </w:pPr>
      <w:r>
        <w:t xml:space="preserve">AAC.3.d — Out-patients are informed of their next follow-up, where appropriate.</w:t>
      </w:r>
    </w:p>
    <w:p>
      <w:pPr>
        <w:pStyle w:val="ListParagraph"/>
        <w:numPr>
          <w:ilvl w:val="0"/>
          <w:numId w:val="1"/>
        </w:numPr>
        <w:spacing w:after="60"/>
      </w:pPr>
      <w:r>
        <w:rPr>
          <w:sz w:val="22"/>
          <w:szCs w:val="22"/>
        </w:rPr>
        <w:t xml:space="preserve">Follow-up instruction recorded in the out-patient record.</w:t>
      </w:r>
    </w:p>
    <w:p>
      <w:pPr>
        <w:pStyle w:val="ListParagraph"/>
        <w:numPr>
          <w:ilvl w:val="0"/>
          <w:numId w:val="1"/>
        </w:numPr>
        <w:spacing w:after="60"/>
      </w:pPr>
      <w:r>
        <w:rPr>
          <w:sz w:val="22"/>
          <w:szCs w:val="22"/>
        </w:rPr>
        <w:t xml:space="preserve">Follow-up card issued where applicable.</w:t>
      </w:r>
    </w:p>
    <w:p>
      <w:pPr>
        <w:pStyle w:val="ListParagraph"/>
        <w:numPr>
          <w:ilvl w:val="0"/>
          <w:numId w:val="1"/>
        </w:numPr>
        <w:spacing w:after="60"/>
      </w:pPr>
      <w:r>
        <w:rPr>
          <w:sz w:val="22"/>
          <w:szCs w:val="22"/>
        </w:rPr>
        <w:t xml:space="preserve">Quarterly audit sample of follow-up documentation.</w:t>
      </w:r>
    </w:p>
    <w:p>
      <w:pPr>
        <w:pStyle w:val="Heading2"/>
        <w:spacing w:after="100" w:before="220"/>
      </w:pPr>
      <w:r>
        <w:t xml:space="preserve">AAC.3.e — The organization lays down guidelines and implements processes to identify early warning signs of change or deterioration in clinical conditions for initiating prompt intervention.</w:t>
      </w:r>
    </w:p>
    <w:p>
      <w:pPr>
        <w:pStyle w:val="ListParagraph"/>
        <w:numPr>
          <w:ilvl w:val="0"/>
          <w:numId w:val="1"/>
        </w:numPr>
        <w:spacing w:after="60"/>
      </w:pPr>
      <w:r>
        <w:rPr>
          <w:sz w:val="22"/>
          <w:szCs w:val="22"/>
        </w:rPr>
        <w:t xml:space="preserve">EWS protocol document specifying tool, parameters, frequency and escalation thresholds.</w:t>
      </w:r>
    </w:p>
    <w:p>
      <w:pPr>
        <w:pStyle w:val="ListParagraph"/>
        <w:numPr>
          <w:ilvl w:val="0"/>
          <w:numId w:val="1"/>
        </w:numPr>
        <w:spacing w:after="60"/>
      </w:pPr>
      <w:r>
        <w:rPr>
          <w:sz w:val="22"/>
          <w:szCs w:val="22"/>
        </w:rPr>
        <w:t xml:space="preserve">EWS observation charts for in-patients.</w:t>
      </w:r>
    </w:p>
    <w:p>
      <w:pPr>
        <w:pStyle w:val="ListParagraph"/>
        <w:numPr>
          <w:ilvl w:val="0"/>
          <w:numId w:val="1"/>
        </w:numPr>
        <w:spacing w:after="60"/>
      </w:pPr>
      <w:r>
        <w:rPr>
          <w:sz w:val="22"/>
          <w:szCs w:val="22"/>
        </w:rPr>
        <w:t xml:space="preserve">Escalation and response records when trigger threshold reached.</w:t>
      </w:r>
    </w:p>
    <w:p>
      <w:pPr>
        <w:pStyle w:val="ListParagraph"/>
        <w:numPr>
          <w:ilvl w:val="0"/>
          <w:numId w:val="1"/>
        </w:numPr>
        <w:spacing w:after="60"/>
      </w:pPr>
      <w:r>
        <w:rPr>
          <w:sz w:val="22"/>
          <w:szCs w:val="22"/>
        </w:rPr>
        <w:t xml:space="preserve">Training records for EWS tool.</w:t>
      </w:r>
    </w:p>
    <w:p>
      <w:pPr>
        <w:pStyle w:val="Heading1"/>
        <w:spacing w:after="120" w:before="280"/>
      </w:pPr>
      <w:r>
        <w:t>14. References</w:t>
      </w:r>
    </w:p>
    <w:p>
      <w:pPr>
        <w:pStyle w:val="ListParagraph"/>
        <w:numPr>
          <w:ilvl w:val="0"/>
          <w:numId w:val="1"/>
        </w:numPr>
        <w:spacing w:after="60"/>
      </w:pPr>
      <w:r>
        <w:rPr>
          <w:sz w:val="22"/>
          <w:szCs w:val="22"/>
        </w:rPr>
      </w:r>
      <w:r>
        <w:rPr>
          <w:sz w:val="22"/>
        </w:rPr>
        <w:t xml:space="preserve">National Accreditation Board for Hospitals &amp; Healthcare Providers. (2022). Standards for small healthcare organisations (3rd ed.) — Access, Assessment and Continuity of Care chapter, standard AAC.3. </w:t>
      </w:r>
      <w:hyperlink r:id="rId9">
        <w:r>
          <w:rPr>
            <w:rStyle w:val="Hyperlink"/>
            <w:sz w:val="22"/>
            <w:szCs w:val="22"/>
          </w:rPr>
          <w:t>https://nabh.co/programmes/small-healthcare-organisation-shco-accreditation-programme/</w:t>
        </w:r>
      </w:hyperlink>
    </w:p>
    <w:p>
      <w:pPr>
        <w:pStyle w:val="ListParagraph"/>
        <w:numPr>
          <w:ilvl w:val="0"/>
          <w:numId w:val="1"/>
        </w:numPr>
        <w:spacing w:after="60"/>
      </w:pPr>
      <w:r>
        <w:rPr>
          <w:sz w:val="22"/>
          <w:szCs w:val="22"/>
        </w:rPr>
        <w:t xml:space="preserve">Royal College of Physicians, National Early Warning Score (NEWS) 2 — framework for early warning score tools; not pasted as this hospital's tool.</w:t>
      </w:r>
    </w:p>
    <w:p>
      <w:pPr>
        <w:pStyle w:val="ListParagraph"/>
        <w:numPr>
          <w:ilvl w:val="0"/>
          <w:numId w:val="1"/>
        </w:numPr>
        <w:spacing w:after="60"/>
      </w:pPr>
      <w:r>
        <w:rPr>
          <w:sz w:val="22"/>
          <w:szCs w:val="22"/>
        </w:rPr>
        <w:t xml:space="preserve">Internal documents of «Hospital Name»: assessment forms; care plan template; EWS observation chart; escalation protocol; out-patient follow-up card.</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«AAC/POL/03»  |  Controlled document  |  Policy on Initial Assessment and Reassessment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nabh.co/programmes/small-healthcare-organisation-shco-accreditation-programme/"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2026-08-19T10:59:33.180Z</dcterms:created>
  <dcterms:modified xsi:type="dcterms:W3CDTF">2026-08-19T10:59:33.180Z</dcterms:modified>
</cp:coreProperties>
</file>

<file path=docProps/custom.xml><?xml version="1.0" encoding="utf-8"?>
<Properties xmlns="http://schemas.openxmlformats.org/officeDocument/2006/custom-properties" xmlns:vt="http://schemas.openxmlformats.org/officeDocument/2006/docPropsVTypes"/>
</file>