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PPE — personal protective equipment.</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It covers five elements: laboratory safety programme, laboratory safe practices and safety measures, patient screening before imaging, radiation safety devices and training, and imaging signage.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waste management: segregation at source per Bio-Medical Waste Management Rules, 2016 — the hospital-wide waste stream is handled under the infection-control policy; this step covers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AERB</w:t>
            </w:r>
          </w:p>
        </w:tc>
        <w:tc>
          <w:tcPr>
            <w:tcW w:type="pct" w:w="22%"/>
            <w:tcBorders>
              <w:top w:val="single" w:color="999999" w:sz="4"/>
              <w:left w:val="single" w:color="999999" w:sz="4"/>
              <w:bottom w:val="single" w:color="999999" w:sz="4"/>
              <w:right w:val="single" w:color="999999" w:sz="4"/>
            </w:tcBorders>
            <w:shd w:fill="E8E8E8" w:val="clear"/>
          </w:tcPr>
          <w:p>
            <w:r>
              <w:rPr>
                <w:b w:val="0"/>
              </w:rPr>
              <w:t>Atomic Energy Regulatory Board</w:t>
            </w:r>
          </w:p>
        </w:tc>
      </w:tr>
      <w:tr>
        <w:tc>
          <w:tcPr>
            <w:tcW w:type="pct" w:w="22%"/>
            <w:tcBorders>
              <w:top w:val="single" w:color="999999" w:sz="4"/>
              <w:left w:val="single" w:color="999999" w:sz="4"/>
              <w:bottom w:val="single" w:color="999999" w:sz="4"/>
              <w:right w:val="single" w:color="999999" w:sz="4"/>
            </w:tcBorders>
            <w:shd w:fill="E8E8E8" w:val="clear"/>
          </w:tcPr>
          <w:p>
            <w:r>
              <w:rPr>
                <w:b w:val="0"/>
              </w:rPr>
              <w:t>ALARA</w:t>
            </w:r>
          </w:p>
        </w:tc>
        <w:tc>
          <w:tcPr>
            <w:tcW w:type="pct" w:w="22%"/>
            <w:tcBorders>
              <w:top w:val="single" w:color="999999" w:sz="4"/>
              <w:left w:val="single" w:color="999999" w:sz="4"/>
              <w:bottom w:val="single" w:color="999999" w:sz="4"/>
              <w:right w:val="single" w:color="999999" w:sz="4"/>
            </w:tcBorders>
            <w:shd w:fill="E8E8E8" w:val="clear"/>
          </w:tcPr>
          <w:p>
            <w:r>
              <w:rPr>
                <w:b w:val="0"/>
              </w:rPr>
              <w:t>as low as reasonably achievable</w:t>
            </w:r>
          </w:p>
        </w:tc>
      </w:tr>
      <w:tr>
        <w:tc>
          <w:tcPr>
            <w:tcW w:type="pct" w:w="22%"/>
            <w:tcBorders>
              <w:top w:val="single" w:color="999999" w:sz="4"/>
              <w:left w:val="single" w:color="999999" w:sz="4"/>
              <w:bottom w:val="single" w:color="999999" w:sz="4"/>
              <w:right w:val="single" w:color="999999" w:sz="4"/>
            </w:tcBorders>
            <w:shd w:fill="E8E8E8" w:val="clear"/>
          </w:tcPr>
          <w:p>
            <w:r>
              <w:rPr>
                <w:b w:val="0"/>
              </w:rPr>
              <w:t>BMW</w:t>
            </w:r>
          </w:p>
        </w:tc>
        <w:tc>
          <w:tcPr>
            <w:tcW w:type="pct" w:w="22%"/>
            <w:tcBorders>
              <w:top w:val="single" w:color="999999" w:sz="4"/>
              <w:left w:val="single" w:color="999999" w:sz="4"/>
              <w:bottom w:val="single" w:color="999999" w:sz="4"/>
              <w:right w:val="single" w:color="999999" w:sz="4"/>
            </w:tcBorders>
            <w:shd w:fill="E8E8E8" w:val="clear"/>
          </w:tcPr>
          <w:p>
            <w:r>
              <w:rPr>
                <w:b w:val="0"/>
              </w:rPr>
              <w:t>Bio-Medical Waste Management Rules, 2016</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HIC</w:t>
            </w:r>
          </w:p>
        </w:tc>
        <w:tc>
          <w:tcPr>
            <w:tcW w:type="pct" w:w="22%"/>
            <w:tcBorders>
              <w:top w:val="single" w:color="999999" w:sz="4"/>
              <w:left w:val="single" w:color="999999" w:sz="4"/>
              <w:bottom w:val="single" w:color="999999" w:sz="4"/>
              <w:right w:val="single" w:color="999999" w:sz="4"/>
            </w:tcBorders>
            <w:shd w:fill="E8E8E8" w:val="clear"/>
          </w:tcPr>
          <w:p>
            <w:r>
              <w:rPr>
                <w:b w:val="0"/>
              </w:rPr>
              <w:t>Hospital Infection Control (NABH SHCO chapter 3)</w:t>
            </w:r>
          </w:p>
        </w:tc>
      </w:tr>
      <w:tr>
        <w:tc>
          <w:tcPr>
            <w:tcW w:type="pct" w:w="22%"/>
            <w:tcBorders>
              <w:top w:val="single" w:color="999999" w:sz="4"/>
              <w:left w:val="single" w:color="999999" w:sz="4"/>
              <w:bottom w:val="single" w:color="999999" w:sz="4"/>
              <w:right w:val="single" w:color="999999" w:sz="4"/>
            </w:tcBorders>
            <w:shd w:fill="E8E8E8" w:val="clear"/>
          </w:tcPr>
          <w:p>
            <w:r>
              <w:rPr>
                <w:b w:val="0"/>
              </w:rPr>
              <w:t>MRI</w:t>
            </w:r>
          </w:p>
        </w:tc>
        <w:tc>
          <w:tcPr>
            <w:tcW w:type="pct" w:w="22%"/>
            <w:tcBorders>
              <w:top w:val="single" w:color="999999" w:sz="4"/>
              <w:left w:val="single" w:color="999999" w:sz="4"/>
              <w:bottom w:val="single" w:color="999999" w:sz="4"/>
              <w:right w:val="single" w:color="999999" w:sz="4"/>
            </w:tcBorders>
            <w:shd w:fill="E8E8E8" w:val="clear"/>
          </w:tcPr>
          <w:p>
            <w:r>
              <w:rPr>
                <w:b w:val="0"/>
              </w:rPr>
              <w:t>magnetic resonance imaging</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PC-PNDT</w:t>
            </w:r>
          </w:p>
        </w:tc>
        <w:tc>
          <w:tcPr>
            <w:tcW w:type="pct" w:w="22%"/>
            <w:tcBorders>
              <w:top w:val="single" w:color="999999" w:sz="4"/>
              <w:left w:val="single" w:color="999999" w:sz="4"/>
              <w:bottom w:val="single" w:color="999999" w:sz="4"/>
              <w:right w:val="single" w:color="999999" w:sz="4"/>
            </w:tcBorders>
            <w:shd w:fill="E8E8E8" w:val="clear"/>
          </w:tcPr>
          <w:p>
            <w:r>
              <w:rPr>
                <w:b w:val="0"/>
              </w:rPr>
              <w:t>Pre-Conception and Pre-Natal Diagnostic Techniques (Prohibition of Sex Selection) Act, 1994</w:t>
            </w:r>
          </w:p>
        </w:tc>
      </w:tr>
      <w:tr>
        <w:tc>
          <w:tcPr>
            <w:tcW w:type="pct" w:w="22%"/>
            <w:tcBorders>
              <w:top w:val="single" w:color="999999" w:sz="4"/>
              <w:left w:val="single" w:color="999999" w:sz="4"/>
              <w:bottom w:val="single" w:color="999999" w:sz="4"/>
              <w:right w:val="single" w:color="999999" w:sz="4"/>
            </w:tcBorders>
            <w:shd w:fill="E8E8E8" w:val="clear"/>
          </w:tcPr>
          <w:p>
            <w:r>
              <w:rPr>
                <w:b w:val="0"/>
              </w:rPr>
              <w:t>PPE</w:t>
            </w:r>
          </w:p>
        </w:tc>
        <w:tc>
          <w:tcPr>
            <w:tcW w:type="pct" w:w="22%"/>
            <w:tcBorders>
              <w:top w:val="single" w:color="999999" w:sz="4"/>
              <w:left w:val="single" w:color="999999" w:sz="4"/>
              <w:bottom w:val="single" w:color="999999" w:sz="4"/>
              <w:right w:val="single" w:color="999999" w:sz="4"/>
            </w:tcBorders>
            <w:shd w:fill="E8E8E8" w:val="clear"/>
          </w:tcPr>
          <w:p>
            <w:r>
              <w:rPr>
                <w:b w:val="0"/>
              </w:rPr>
              <w:t>personal protective equipment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TLD</w:t>
            </w:r>
          </w:p>
        </w:tc>
        <w:tc>
          <w:tcPr>
            <w:tcW w:type="pct" w:w="22%"/>
            <w:tcBorders>
              <w:top w:val="single" w:color="999999" w:sz="4"/>
              <w:left w:val="single" w:color="999999" w:sz="4"/>
              <w:bottom w:val="single" w:color="999999" w:sz="4"/>
              <w:right w:val="single" w:color="999999" w:sz="4"/>
            </w:tcBorders>
            <w:shd w:fill="E8E8E8" w:val="clear"/>
          </w:tcPr>
          <w:p>
            <w:r>
              <w:rPr>
                <w:b w:val="0"/>
              </w:rPr>
              <w:t>thermoluminescent dosimeter</w:t>
            </w:r>
          </w:p>
        </w:tc>
      </w:tr>
    </w:tbl>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Access, Assessment and Continuity of Care chapter, standard AAC.6.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