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Prevention of Healthcare Associated Infections in Patients and Staff</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Infection-control occupational response (needlestick, sharps, splash) is covered here; general staff health programmes are handled under the human-resources policy (not yet built).</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It covers six elements: CAUTI prevention, IVAC/VAP prevention, CLABSI prevention, SSI prevention, occupational health/safety practices, and PEP.</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The Infection Control Nurse monitors CAUTI rates (from the infection-surveillance records)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Where «Hospital Name» does not insert central lines, this is a recorded absence against the service directory. Peripheral IV care follows aseptic insertion and maintenance bundles.</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Appropriate antibiotic prophylaxis administered within «60 minutes» before incision (per the antimicrobial-stewardship policy).</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Sterile technique throughout; instrument sterility per the relevant policy.</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Standard precautions and PPE use as per the relevant policy.</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HBV</w:t>
            </w:r>
          </w:p>
        </w:tc>
        <w:tc>
          <w:tcPr>
            <w:tcW w:type="pct" w:w="22%"/>
            <w:tcBorders>
              <w:top w:val="single" w:color="999999" w:sz="4"/>
              <w:left w:val="single" w:color="999999" w:sz="4"/>
              <w:bottom w:val="single" w:color="999999" w:sz="4"/>
              <w:right w:val="single" w:color="999999" w:sz="4"/>
            </w:tcBorders>
            <w:shd w:fill="E8E8E8" w:val="clear"/>
          </w:tcPr>
          <w:p>
            <w:r>
              <w:rPr>
                <w:b w:val="0"/>
              </w:rPr>
              <w:t>hepatitis B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HCV</w:t>
            </w:r>
          </w:p>
        </w:tc>
        <w:tc>
          <w:tcPr>
            <w:tcW w:type="pct" w:w="22%"/>
            <w:tcBorders>
              <w:top w:val="single" w:color="999999" w:sz="4"/>
              <w:left w:val="single" w:color="999999" w:sz="4"/>
              <w:bottom w:val="single" w:color="999999" w:sz="4"/>
              <w:right w:val="single" w:color="999999" w:sz="4"/>
            </w:tcBorders>
            <w:shd w:fill="E8E8E8" w:val="clear"/>
          </w:tcPr>
          <w:p>
            <w:r>
              <w:rPr>
                <w:b w:val="0"/>
              </w:rPr>
              <w:t>hepatitis C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HIV</w:t>
            </w:r>
          </w:p>
        </w:tc>
        <w:tc>
          <w:tcPr>
            <w:tcW w:type="pct" w:w="22%"/>
            <w:tcBorders>
              <w:top w:val="single" w:color="999999" w:sz="4"/>
              <w:left w:val="single" w:color="999999" w:sz="4"/>
              <w:bottom w:val="single" w:color="999999" w:sz="4"/>
              <w:right w:val="single" w:color="999999" w:sz="4"/>
            </w:tcBorders>
            <w:shd w:fill="E8E8E8" w:val="clear"/>
          </w:tcPr>
          <w:p>
            <w:r>
              <w:rPr>
                <w:b w:val="0"/>
              </w:rPr>
              <w:t>human immunodeficiency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IVAC</w:t>
            </w:r>
          </w:p>
        </w:tc>
        <w:tc>
          <w:tcPr>
            <w:tcW w:type="pct" w:w="22%"/>
            <w:tcBorders>
              <w:top w:val="single" w:color="999999" w:sz="4"/>
              <w:left w:val="single" w:color="999999" w:sz="4"/>
              <w:bottom w:val="single" w:color="999999" w:sz="4"/>
              <w:right w:val="single" w:color="999999" w:sz="4"/>
            </w:tcBorders>
            <w:shd w:fill="E8E8E8" w:val="clear"/>
          </w:tcPr>
          <w:p>
            <w:r>
              <w:rPr>
                <w:b w:val="0"/>
              </w:rPr>
              <w:t>infection-related ventilator-associated complication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NACO</w:t>
            </w:r>
          </w:p>
        </w:tc>
        <w:tc>
          <w:tcPr>
            <w:tcW w:type="pct" w:w="22%"/>
            <w:tcBorders>
              <w:top w:val="single" w:color="999999" w:sz="4"/>
              <w:left w:val="single" w:color="999999" w:sz="4"/>
              <w:bottom w:val="single" w:color="999999" w:sz="4"/>
              <w:right w:val="single" w:color="999999" w:sz="4"/>
            </w:tcBorders>
            <w:shd w:fill="E8E8E8" w:val="clear"/>
          </w:tcPr>
          <w:p>
            <w:r>
              <w:rPr>
                <w:b w:val="0"/>
              </w:rPr>
              <w:t>National AIDS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Hospital Infection Prevention and Control chapter, standard HIC.4.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HIC/POL/04  |  Controlled document  |  Policy on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