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28"/>
          <w:szCs w:val="28"/>
        </w:rPr>
        <w:t>Policy on Medical Record Reflects Continuity of Care</w:t>
      </w:r>
    </w:p>
    <w:p>
      <w:pPr>
        <w:spacing w:after="60"/>
        <w:jc w:val="center"/>
      </w:pPr>
      <w:r>
        <w:rPr>
          <w:b/>
          <w:bCs/>
          <w:sz w:val="32"/>
          <w:szCs w:val="32"/>
        </w:rPr>
        <w:t xml:space="preserve">«Hospital Name»</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«IMS/POL/03»</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The medical record reflects continuity of care — admission reason, diagnosis and plan; assessments and care given; transfer details; a discharge-summary copy; a cause-of-death certificate copy where death occurs; and access for care providers to current and past records.</w:t>
      </w:r>
    </w:p>
    <w:p>
      <w:pPr>
        <w:pStyle w:val="Heading1"/>
        <w:spacing w:after="120" w:before="280"/>
      </w:pPr>
      <w:r>
        <w:t xml:space="preserve">1. Purpose</w:t>
      </w:r>
    </w:p>
    <w:p>
      <w:pPr>
        <w:spacing w:after="140"/>
      </w:pPr>
      <w:r>
        <w:rPr>
          <w:sz w:val="22"/>
          <w:szCs w:val="22"/>
        </w:rPr>
        <w:t>This policy describes how the medical record at «Hospital Name» contains the continuity-of-care items this policy names: reasons for admission, diagnosis and plan of care; details of assessments, reassessments, consultations, investigation results, operative and other procedures, and care provided; transfer details when the patient is transferred to another hospital; a copy of the discharge summary; a copy of the cause-of-death certificate in case of death; and access for care providers to the current and past medical record.</w:t>
      </w:r>
    </w:p>
    <w:p>
      <w:pPr>
        <w:spacing w:after="140"/>
      </w:pPr>
      <w:r>
        <w:rPr>
          <w:sz w:val="22"/>
          <w:szCs w:val="22"/>
        </w:rPr>
        <w:t>Other clinical policies own the clinical content: assessment and care planning, handover and internal transfer mechanics, transfer-out mechanics, and the discharge summary itself each have their own policy, as do operative and procedure notes. This policy requires that copies and details are in the record — it does not rewrite those clinical methods.</w:t>
      </w:r>
    </w:p>
    <w:p>
      <w:pPr>
        <w:pStyle w:val="Heading1"/>
        <w:spacing w:after="120" w:before="280"/>
      </w:pPr>
      <w:r>
        <w:t xml:space="preserve">2. Scope</w:t>
      </w:r>
    </w:p>
    <w:p>
      <w:pPr>
        <w:spacing w:after="140"/>
      </w:pPr>
      <w:r>
        <w:rPr>
          <w:sz w:val="22"/>
          <w:szCs w:val="22"/>
        </w:rPr>
        <w:t xml:space="preserve">This policy applies to treating doctors, nurses, the «Medical Records Officer», the Medical Superintendent and the Quality Coordinator at «Hospital Name».</w:t>
      </w:r>
    </w:p>
    <w:p>
      <w:pPr>
        <w:pStyle w:val="Heading1"/>
        <w:spacing w:after="120" w:before="280"/>
      </w:pPr>
      <w:r>
        <w:t xml:space="preserve">3. Policy standards</w:t>
      </w:r>
    </w:p>
    <w:p>
      <w:pPr>
        <w:spacing w:after="140"/>
      </w:pPr>
      <w:r>
        <w:rPr>
          <w:sz w:val="22"/>
          <w:szCs w:val="22"/>
        </w:rPr>
        <w:t xml:space="preserve">The medical record at «Hospital Name» reflects continuity of care.</w:t>
      </w:r>
    </w:p>
    <w:p>
      <w:pPr>
        <w:spacing w:after="140"/>
      </w:pPr>
      <w:r>
        <w:rPr>
          <w:sz w:val="22"/>
          <w:szCs w:val="22"/>
        </w:rPr>
        <w:t xml:space="preserve">It contains reasons for admission, diagnosis and plan of care; details of assessments, reassessments, consultations, investigation results, operative and other procedures, and the care provided; transfer details when the patient is transferred to another hospital; a copy of the discharge summary; and, in case of death, a copy of the cause-of-death certificate. Care providers have access to the current and past medical record.</w:t>
      </w:r>
    </w:p>
    <w:p>
      <w:pPr>
        <w:spacing w:after="140"/>
      </w:pPr>
      <w:r>
        <w:rPr>
          <w:sz w:val="22"/>
          <w:szCs w:val="22"/>
        </w:rPr>
        <w:t xml:space="preserve">«Hospital Name» does not close a record that is missing a discharge-summary copy, a required transfer note, or a cause-of-death certificate copy after a death.</w:t>
      </w:r>
    </w:p>
    <w:p>
      <w:pPr>
        <w:pStyle w:val="Heading1"/>
        <w:spacing w:after="120" w:before="280"/>
      </w:pPr>
      <w:r>
        <w:t xml:space="preserve">4. Non-negotiable rules</w:t>
      </w:r>
    </w:p>
    <w:p>
      <w:pPr>
        <w:spacing w:after="140"/>
      </w:pPr>
      <w:r>
        <w:rPr>
          <w:sz w:val="22"/>
          <w:szCs w:val="22"/>
        </w:rPr>
        <w:t xml:space="preserve">The following are prohibited. There is no convenience exception.</w:t>
      </w:r>
    </w:p>
    <w:p>
      <w:pPr>
        <w:spacing w:after="80"/>
      </w:pPr>
      <w:r>
        <w:rPr>
          <w:sz w:val="22"/>
          <w:szCs w:val="22"/>
        </w:rPr>
        <w:t xml:space="preserve">1. Filing a record that has no reason for admission, diagnosis or plan of care.</w:t>
      </w:r>
    </w:p>
    <w:p>
      <w:pPr>
        <w:spacing w:after="80"/>
      </w:pPr>
      <w:r>
        <w:rPr>
          <w:sz w:val="22"/>
          <w:szCs w:val="22"/>
        </w:rPr>
        <w:t xml:space="preserve">2. Omitting assessments, reassessments, consultations, investigation results, operative or other procedure notes, or details of care provided.</w:t>
      </w:r>
    </w:p>
    <w:p>
      <w:pPr>
        <w:spacing w:after="80"/>
      </w:pPr>
      <w:r>
        <w:rPr>
          <w:sz w:val="22"/>
          <w:szCs w:val="22"/>
        </w:rPr>
        <w:t xml:space="preserve">3. Transferring a patient to another hospital without recording the transfer details in the medical record.</w:t>
      </w:r>
    </w:p>
    <w:p>
      <w:pPr>
        <w:spacing w:after="80"/>
      </w:pPr>
      <w:r>
        <w:rPr>
          <w:sz w:val="22"/>
          <w:szCs w:val="22"/>
        </w:rPr>
        <w:t xml:space="preserve">4. Closing a discharged patient's record without a copy of the discharge summary.</w:t>
      </w:r>
    </w:p>
    <w:p>
      <w:pPr>
        <w:spacing w:after="80"/>
      </w:pPr>
      <w:r>
        <w:rPr>
          <w:sz w:val="22"/>
          <w:szCs w:val="22"/>
        </w:rPr>
        <w:t xml:space="preserve">5. Closing a deceased patient's record without a copy of the cause-of-death certificate.</w:t>
      </w:r>
    </w:p>
    <w:p>
      <w:pPr>
        <w:spacing w:after="80"/>
      </w:pPr>
      <w:r>
        <w:rPr>
          <w:sz w:val="22"/>
          <w:szCs w:val="22"/>
        </w:rPr>
        <w:t xml:space="preserve">6. Denying a treating care provider access to the current or past medical record needed for care.</w:t>
      </w:r>
    </w:p>
    <w:p>
      <w:pPr>
        <w:spacing w:after="140"/>
      </w:pPr>
      <w:r>
        <w:rPr>
          <w:sz w:val="22"/>
          <w:szCs w:val="22"/>
        </w:rPr>
        <w:t xml:space="preserve">Staff who find a missing continuity item report it the same shift to the «treating doctor» and the «Medical Records Officer».</w:t>
      </w:r>
    </w:p>
    <w:p>
      <w:pPr>
        <w:pStyle w:val="Heading1"/>
        <w:spacing w:after="120" w:before="280"/>
      </w:pPr>
      <w:r>
        <w:t xml:space="preserve">5. What we do</w:t>
      </w:r>
    </w:p>
    <w:p>
      <w:pPr>
        <w:pStyle w:val="Heading2"/>
        <w:spacing w:after="100" w:before="220"/>
      </w:pPr>
      <w:r>
        <w:t xml:space="preserve">5.1 Reasons for admission, diagnosis and plan of care</w:t>
      </w:r>
    </w:p>
    <w:p>
      <w:pPr>
        <w:spacing w:after="140"/>
      </w:pPr>
      <w:r>
        <w:rPr>
          <w:sz w:val="22"/>
          <w:szCs w:val="22"/>
        </w:rPr>
        <w:t xml:space="preserve">The medical record contains information regarding reasons for admission, diagnosis and plan of care.</w:t>
      </w:r>
    </w:p>
    <w:p>
      <w:pPr>
        <w:spacing w:after="140"/>
      </w:pPr>
      <w:r>
        <w:rPr>
          <w:sz w:val="22"/>
          <w:szCs w:val="22"/>
        </w:rPr>
        <w:t>The treating doctor records the reason for admission (or the presenting problem for an ambulatory visit), the working or confirmed diagnosis, and the plan of care. This step owns that those three items are present in the record and can be found without reconstructing the episode from memory.</w:t>
      </w:r>
    </w:p>
    <w:p>
      <w:pPr>
        <w:spacing w:after="140"/>
      </w:pPr>
      <w:r>
        <w:rPr>
          <w:sz w:val="22"/>
          <w:szCs w:val="22"/>
        </w:rPr>
        <w:t xml:space="preserve">The «Medical Records Officer» checks presence of these items at filing after discharge or death.</w:t>
      </w:r>
    </w:p>
    <w:p>
      <w:pPr>
        <w:pStyle w:val="Heading2"/>
        <w:spacing w:after="100" w:before="220"/>
      </w:pPr>
      <w:r>
        <w:t xml:space="preserve">5.2 Assessments, investigations, procedures and care provided</w:t>
      </w:r>
    </w:p>
    <w:p>
      <w:pPr>
        <w:spacing w:after="140"/>
      </w:pPr>
      <w:r>
        <w:rPr>
          <w:sz w:val="22"/>
          <w:szCs w:val="22"/>
        </w:rPr>
        <w:t xml:space="preserve">The medical record contains the details of assessments, reassessments, consultations, results of investigations, operative and other procedures, and the details of the care provided.</w:t>
      </w:r>
    </w:p>
    <w:p>
      <w:pPr>
        <w:spacing w:after="140"/>
      </w:pPr>
      <w:r>
        <w:rPr>
          <w:sz w:val="22"/>
          <w:szCs w:val="22"/>
        </w:rPr>
        <w:t xml:space="preserve">Treating doctors and nurses record:</w:t>
      </w:r>
    </w:p>
    <w:p>
      <w:pPr>
        <w:pStyle w:val="ListParagraph"/>
        <w:numPr>
          <w:ilvl w:val="0"/>
          <w:numId w:val="1"/>
        </w:numPr>
        <w:spacing w:after="60"/>
      </w:pPr>
      <w:r>
        <w:rPr>
          <w:sz w:val="22"/>
          <w:szCs w:val="22"/>
        </w:rPr>
        <w:t>initial assessment and each reassessment;</w:t>
      </w:r>
    </w:p>
    <w:p>
      <w:pPr>
        <w:pStyle w:val="ListParagraph"/>
        <w:numPr>
          <w:ilvl w:val="0"/>
          <w:numId w:val="1"/>
        </w:numPr>
        <w:spacing w:after="60"/>
      </w:pPr>
      <w:r>
        <w:rPr>
          <w:sz w:val="22"/>
          <w:szCs w:val="22"/>
        </w:rPr>
        <w:t xml:space="preserve">consultations requested and the consultant's opinion;</w:t>
      </w:r>
    </w:p>
    <w:p>
      <w:pPr>
        <w:pStyle w:val="ListParagraph"/>
        <w:numPr>
          <w:ilvl w:val="0"/>
          <w:numId w:val="1"/>
        </w:numPr>
        <w:spacing w:after="60"/>
      </w:pPr>
      <w:r>
        <w:rPr>
          <w:sz w:val="22"/>
          <w:szCs w:val="22"/>
        </w:rPr>
        <w:t>investigation results (filed or electronically linked — the laboratory and imaging policies own the reports);</w:t>
      </w:r>
    </w:p>
    <w:p>
      <w:pPr>
        <w:pStyle w:val="ListParagraph"/>
        <w:numPr>
          <w:ilvl w:val="0"/>
          <w:numId w:val="1"/>
        </w:numPr>
        <w:spacing w:after="60"/>
      </w:pPr>
      <w:r>
        <w:rPr>
          <w:sz w:val="22"/>
          <w:szCs w:val="22"/>
        </w:rPr>
        <w:t>operative notes and other procedure notes (the clinical-care policies own the method);</w:t>
      </w:r>
    </w:p>
    <w:p>
      <w:pPr>
        <w:pStyle w:val="ListParagraph"/>
        <w:numPr>
          <w:ilvl w:val="0"/>
          <w:numId w:val="1"/>
        </w:numPr>
        <w:spacing w:after="60"/>
      </w:pPr>
      <w:r>
        <w:rPr>
          <w:sz w:val="22"/>
          <w:szCs w:val="22"/>
        </w:rPr>
        <w:t xml:space="preserve">the care actually provided, including nursing care.</w:t>
      </w:r>
    </w:p>
    <w:p>
      <w:pPr>
        <w:spacing w:after="140"/>
      </w:pPr>
      <w:r>
        <w:rPr>
          <w:sz w:val="22"/>
          <w:szCs w:val="22"/>
        </w:rPr>
        <w:t xml:space="preserve">A gap in this chain (for example a procedure with no note, or an investigation with no result in the record) is treated as an incomplete record and is completed before the record is closed.</w:t>
      </w:r>
    </w:p>
    <w:p>
      <w:pPr>
        <w:pStyle w:val="Heading2"/>
        <w:spacing w:after="100" w:before="220"/>
      </w:pPr>
      <w:r>
        <w:t xml:space="preserve">5.3 Transfer to another hospital — details in the record</w:t>
      </w:r>
    </w:p>
    <w:p>
      <w:pPr>
        <w:spacing w:after="140"/>
      </w:pPr>
      <w:r>
        <w:rPr>
          <w:sz w:val="22"/>
          <w:szCs w:val="22"/>
        </w:rPr>
        <w:t xml:space="preserve">When a patient is transferred to another hospital, the medical record contains the details of the transfer.</w:t>
      </w:r>
    </w:p>
    <w:p>
      <w:pPr>
        <w:spacing w:after="140"/>
      </w:pPr>
      <w:r>
        <w:rPr>
          <w:sz w:val="22"/>
          <w:szCs w:val="22"/>
        </w:rPr>
        <w:t>Details include: reason for transfer, receiving organisation, date and time of transfer, clinical condition at transfer, documents sent with the patient, and the name of the transferring doctor. This step owns that those details are in this hospital's record.</w:t>
      </w:r>
    </w:p>
    <w:p>
      <w:pPr>
        <w:spacing w:after="140"/>
      </w:pPr>
      <w:r>
        <w:rPr>
          <w:sz w:val="22"/>
          <w:szCs w:val="22"/>
        </w:rPr>
        <w:t xml:space="preserve">A copy of the transfer note remains in the record after the patient has left.</w:t>
      </w:r>
    </w:p>
    <w:p>
      <w:pPr>
        <w:pStyle w:val="Heading2"/>
        <w:spacing w:after="100" w:before="220"/>
      </w:pPr>
      <w:r>
        <w:t xml:space="preserve">5.4 Copy of the discharge summary in the record</w:t>
      </w:r>
    </w:p>
    <w:p>
      <w:pPr>
        <w:spacing w:after="140"/>
      </w:pPr>
      <w:r>
        <w:rPr>
          <w:sz w:val="22"/>
          <w:szCs w:val="22"/>
        </w:rPr>
        <w:t xml:space="preserve">The medical record contains a copy of the discharge summary.</w:t>
      </w:r>
    </w:p>
    <w:p>
      <w:pPr>
        <w:spacing w:after="140"/>
      </w:pPr>
      <w:r>
        <w:rPr>
          <w:sz w:val="22"/>
          <w:szCs w:val="22"/>
        </w:rPr>
        <w:t>This step owns that a copy — paper or electronic — is filed in the medical record before the record is closed.</w:t>
      </w:r>
    </w:p>
    <w:p>
      <w:pPr>
        <w:spacing w:after="140"/>
      </w:pPr>
      <w:r>
        <w:rPr>
          <w:sz w:val="22"/>
          <w:szCs w:val="22"/>
        </w:rPr>
        <w:t xml:space="preserve">The «Medical Records Officer» does not file a discharged patient's record as complete until the discharge-summary copy is present.</w:t>
      </w:r>
    </w:p>
    <w:p>
      <w:pPr>
        <w:pStyle w:val="Heading2"/>
        <w:spacing w:after="100" w:before="220"/>
      </w:pPr>
      <w:r>
        <w:t xml:space="preserve">5.5 Cause-of-death certificate copy in case of death</w:t>
      </w:r>
    </w:p>
    <w:p>
      <w:pPr>
        <w:spacing w:after="140"/>
      </w:pPr>
      <w:r>
        <w:rPr>
          <w:sz w:val="22"/>
          <w:szCs w:val="22"/>
        </w:rPr>
        <w:t xml:space="preserve">In case of death, the medical record contains a copy of the cause-of-death certificate.</w:t>
      </w:r>
    </w:p>
    <w:p>
      <w:pPr>
        <w:spacing w:after="140"/>
      </w:pPr>
      <w:r>
        <w:rPr>
          <w:sz w:val="22"/>
          <w:szCs w:val="22"/>
        </w:rPr>
        <w:t>The treating doctor (or the doctor who certifies death) ensures a copy of the cause-of-death certificate is filed in the record. This step owns the certificate copy in the record.</w:t>
      </w:r>
    </w:p>
    <w:p>
      <w:pPr>
        <w:spacing w:after="140"/>
      </w:pPr>
      <w:r>
        <w:rPr>
          <w:sz w:val="22"/>
          <w:szCs w:val="22"/>
        </w:rPr>
        <w:t xml:space="preserve">The «Medical Records Officer» does not file a deceased patient's record as complete until the cause-of-death certificate copy is present.</w:t>
      </w:r>
    </w:p>
    <w:p>
      <w:pPr>
        <w:pStyle w:val="Heading2"/>
        <w:spacing w:after="100" w:before="220"/>
      </w:pPr>
      <w:r>
        <w:t xml:space="preserve">5.6 Care providers' access to current and past medical records</w:t>
      </w:r>
    </w:p>
    <w:p>
      <w:pPr>
        <w:spacing w:after="140"/>
      </w:pPr>
      <w:r>
        <w:rPr>
          <w:sz w:val="22"/>
          <w:szCs w:val="22"/>
        </w:rPr>
        <w:t xml:space="preserve">Care providers have access to current and past medical records.</w:t>
      </w:r>
    </w:p>
    <w:p>
      <w:pPr>
        <w:spacing w:after="140"/>
      </w:pPr>
      <w:r>
        <w:rPr>
          <w:sz w:val="22"/>
          <w:szCs w:val="22"/>
        </w:rPr>
        <w:t xml:space="preserve">A treating doctor or nurse responsible for the patient can obtain the current record and previous-episode records needed for care, during working hours and after hours. The «Medical Records Officer» (day) and the «nursing supervisor on duty» (after hours) know how to retrieve a record.</w:t>
      </w:r>
    </w:p>
    <w:p>
      <w:pPr>
        <w:spacing w:after="140"/>
      </w:pPr>
      <w:r>
        <w:rPr>
          <w:sz w:val="22"/>
          <w:szCs w:val="22"/>
        </w:rPr>
        <w:t>Access under this step is for care providers who need the record to care for the patient — not open browsing. After-hours retrieval is logged.</w:t>
      </w:r>
    </w:p>
    <w:p>
      <w:pPr>
        <w:pStyle w:val="Heading1"/>
        <w:spacing w:after="120" w:before="280"/>
      </w:pPr>
      <w:r>
        <w:t xml:space="preserve">6. Governance and responsibility</w:t>
      </w:r>
    </w:p>
    <w:p>
      <w:pPr>
        <w:pStyle w:val="ListParagraph"/>
        <w:numPr>
          <w:ilvl w:val="0"/>
          <w:numId w:val="1"/>
        </w:numPr>
        <w:spacing w:after="60"/>
      </w:pPr>
      <w:r>
        <w:rPr>
          <w:sz w:val="22"/>
          <w:szCs w:val="22"/>
        </w:rPr>
        <w:t xml:space="preserve">Medical Superintendent</w:t>
      </w:r>
    </w:p>
    <w:p>
      <w:pPr>
        <w:pStyle w:val="ListParagraph"/>
        <w:numPr>
          <w:ilvl w:val="0"/>
          <w:numId w:val="1"/>
        </w:numPr>
        <w:spacing w:after="60"/>
      </w:pPr>
      <w:r>
        <w:rPr>
          <w:sz w:val="22"/>
          <w:szCs w:val="22"/>
        </w:rPr>
        <w:t xml:space="preserve">Accountable for continuity items being present in every closed record.</w:t>
      </w:r>
    </w:p>
    <w:p>
      <w:pPr>
        <w:pStyle w:val="ListParagraph"/>
        <w:numPr>
          <w:ilvl w:val="0"/>
          <w:numId w:val="1"/>
        </w:numPr>
        <w:spacing w:after="60"/>
      </w:pPr>
      <w:r>
        <w:rPr>
          <w:sz w:val="22"/>
          <w:szCs w:val="22"/>
        </w:rPr>
        <w:t xml:space="preserve">Treating doctors</w:t>
      </w:r>
    </w:p>
    <w:p>
      <w:pPr>
        <w:pStyle w:val="ListParagraph"/>
        <w:numPr>
          <w:ilvl w:val="0"/>
          <w:numId w:val="1"/>
        </w:numPr>
        <w:spacing w:after="60"/>
      </w:pPr>
      <w:r>
        <w:rPr>
          <w:sz w:val="22"/>
          <w:szCs w:val="22"/>
        </w:rPr>
        <w:t xml:space="preserve">Record admission reason, diagnosis, plan, assessments, procedures and care given.</w:t>
      </w:r>
    </w:p>
    <w:p>
      <w:pPr>
        <w:pStyle w:val="ListParagraph"/>
        <w:numPr>
          <w:ilvl w:val="0"/>
          <w:numId w:val="1"/>
        </w:numPr>
        <w:spacing w:after="60"/>
      </w:pPr>
      <w:r>
        <w:rPr>
          <w:sz w:val="22"/>
          <w:szCs w:val="22"/>
        </w:rPr>
        <w:t xml:space="preserve">File transfer notes, discharge-summary copies and cause-of-death certificate copies.</w:t>
      </w:r>
    </w:p>
    <w:p>
      <w:pPr>
        <w:pStyle w:val="ListParagraph"/>
        <w:numPr>
          <w:ilvl w:val="0"/>
          <w:numId w:val="1"/>
        </w:numPr>
        <w:spacing w:after="60"/>
      </w:pPr>
      <w:r>
        <w:rPr>
          <w:sz w:val="22"/>
          <w:szCs w:val="22"/>
        </w:rPr>
        <w:t xml:space="preserve">Nurses</w:t>
      </w:r>
    </w:p>
    <w:p>
      <w:pPr>
        <w:pStyle w:val="ListParagraph"/>
        <w:numPr>
          <w:ilvl w:val="0"/>
          <w:numId w:val="1"/>
        </w:numPr>
        <w:spacing w:after="60"/>
      </w:pPr>
      <w:r>
        <w:rPr>
          <w:sz w:val="22"/>
          <w:szCs w:val="22"/>
        </w:rPr>
        <w:t xml:space="preserve">Record nursing assessments and care provided.</w:t>
      </w:r>
    </w:p>
    <w:p>
      <w:pPr>
        <w:pStyle w:val="ListParagraph"/>
        <w:numPr>
          <w:ilvl w:val="0"/>
          <w:numId w:val="1"/>
        </w:numPr>
        <w:spacing w:after="60"/>
      </w:pPr>
      <w:r>
        <w:rPr>
          <w:sz w:val="22"/>
          <w:szCs w:val="22"/>
        </w:rPr>
        <w:t xml:space="preserve">Support after-hours retrieval for treating care providers.</w:t>
      </w:r>
    </w:p>
    <w:p>
      <w:pPr>
        <w:pStyle w:val="ListParagraph"/>
        <w:numPr>
          <w:ilvl w:val="0"/>
          <w:numId w:val="1"/>
        </w:numPr>
        <w:spacing w:after="60"/>
      </w:pPr>
      <w:r>
        <w:rPr>
          <w:sz w:val="22"/>
          <w:szCs w:val="22"/>
        </w:rPr>
        <w:t xml:space="preserve">Medical Records Officer (or the person carrying that role)</w:t>
      </w:r>
    </w:p>
    <w:p>
      <w:pPr>
        <w:pStyle w:val="ListParagraph"/>
        <w:numPr>
          <w:ilvl w:val="0"/>
          <w:numId w:val="1"/>
        </w:numPr>
        <w:spacing w:after="60"/>
      </w:pPr>
      <w:r>
        <w:rPr>
          <w:sz w:val="22"/>
          <w:szCs w:val="22"/>
        </w:rPr>
        <w:t xml:space="preserve">Checks presence of continuity items before a record is closed.</w:t>
      </w:r>
    </w:p>
    <w:p>
      <w:pPr>
        <w:pStyle w:val="ListParagraph"/>
        <w:numPr>
          <w:ilvl w:val="0"/>
          <w:numId w:val="1"/>
        </w:numPr>
        <w:spacing w:after="60"/>
      </w:pPr>
      <w:r>
        <w:rPr>
          <w:sz w:val="22"/>
          <w:szCs w:val="22"/>
        </w:rPr>
        <w:t xml:space="preserve">Enables care-provider access to current and past records.</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(see section 7).</w:t>
      </w:r>
    </w:p>
    <w:p>
      <w:pPr>
        <w:pStyle w:val="ListParagraph"/>
        <w:numPr>
          <w:ilvl w:val="0"/>
          <w:numId w:val="1"/>
        </w:numPr>
        <w:spacing w:after="60"/>
      </w:pPr>
      <w:r>
        <w:rPr>
          <w:sz w:val="22"/>
          <w:szCs w:val="22"/>
        </w:rPr>
        <w:t>Feeds missing-item rates to the periodic record-review process.</w:t>
      </w:r>
    </w:p>
    <w:p>
      <w:pPr>
        <w:pStyle w:val="Heading1"/>
        <w:spacing w:after="120" w:before="280"/>
      </w:pPr>
      <w:r>
        <w:t xml:space="preserve">7. Quality monitoring (RCA → CAPA)</w:t>
      </w:r>
    </w:p>
    <w:p>
      <w:pPr>
        <w:spacing w:after="140"/>
      </w:pPr>
      <w:r>
        <w:rPr>
          <w:sz w:val="22"/>
          <w:szCs w:val="22"/>
        </w:rPr>
        <w:t xml:space="preserve">The Quality Coordinator audits this policy «quarterly». The audit checks records and practice.</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Sample of closed records: admission reason, diagnosis and plan present.</w:t>
      </w:r>
    </w:p>
    <w:p>
      <w:pPr>
        <w:pStyle w:val="ListParagraph"/>
        <w:numPr>
          <w:ilvl w:val="0"/>
          <w:numId w:val="1"/>
        </w:numPr>
        <w:spacing w:after="60"/>
      </w:pPr>
      <w:r>
        <w:rPr>
          <w:sz w:val="22"/>
          <w:szCs w:val="22"/>
        </w:rPr>
        <w:t xml:space="preserve">Sample: assessments, investigations, procedure notes and care details present.</w:t>
      </w:r>
    </w:p>
    <w:p>
      <w:pPr>
        <w:pStyle w:val="ListParagraph"/>
        <w:numPr>
          <w:ilvl w:val="0"/>
          <w:numId w:val="1"/>
        </w:numPr>
        <w:spacing w:after="60"/>
      </w:pPr>
      <w:r>
        <w:rPr>
          <w:sz w:val="22"/>
          <w:szCs w:val="22"/>
        </w:rPr>
        <w:t xml:space="preserve">All transfers-out in the period: transfer details in the record.</w:t>
      </w:r>
    </w:p>
    <w:p>
      <w:pPr>
        <w:pStyle w:val="ListParagraph"/>
        <w:numPr>
          <w:ilvl w:val="0"/>
          <w:numId w:val="1"/>
        </w:numPr>
        <w:spacing w:after="60"/>
      </w:pPr>
      <w:r>
        <w:rPr>
          <w:sz w:val="22"/>
          <w:szCs w:val="22"/>
        </w:rPr>
        <w:t xml:space="preserve">All discharges in the sample: discharge-summary copy present.</w:t>
      </w:r>
    </w:p>
    <w:p>
      <w:pPr>
        <w:pStyle w:val="ListParagraph"/>
        <w:numPr>
          <w:ilvl w:val="0"/>
          <w:numId w:val="1"/>
        </w:numPr>
        <w:spacing w:after="60"/>
      </w:pPr>
      <w:r>
        <w:rPr>
          <w:sz w:val="22"/>
          <w:szCs w:val="22"/>
        </w:rPr>
        <w:t xml:space="preserve">All deaths in the period: cause-of-death certificate copy present.</w:t>
      </w:r>
    </w:p>
    <w:p>
      <w:pPr>
        <w:pStyle w:val="ListParagraph"/>
        <w:numPr>
          <w:ilvl w:val="0"/>
          <w:numId w:val="1"/>
        </w:numPr>
        <w:spacing w:after="60"/>
      </w:pPr>
      <w:r>
        <w:rPr>
          <w:sz w:val="22"/>
          <w:szCs w:val="22"/>
        </w:rPr>
        <w:t xml:space="preserve">After-hours retrieval log in use.</w:t>
      </w:r>
    </w:p>
    <w:p>
      <w:pPr>
        <w:spacing w:after="140"/>
      </w:pPr>
      <w:r>
        <w:rPr>
          <w:sz w:val="22"/>
          <w:szCs w:val="22"/>
        </w:rPr>
        <w:t xml:space="preserve">Root-cause analysis is required when a closed record is missing a discharge-summary copy or a cause-of-death certificate copy.</w:t>
      </w:r>
    </w:p>
    <w:p>
      <w:pPr>
        <w:spacing w:after="140"/>
      </w:pPr>
      <w:r>
        <w:rPr>
          <w:sz w:val="22"/>
          <w:szCs w:val="22"/>
        </w:rPr>
        <w:t xml:space="preserve">This policy is reviewed «annually», and sooner when the discharge or death-certification process changes.</w:t>
      </w:r>
    </w:p>
    <w:p>
      <w:pPr>
        <w:pStyle w:val="Heading1"/>
        <w:spacing w:after="120" w:before="280"/>
      </w:pPr>
      <w:r>
        <w:t xml:space="preserve">8. Training and staff acknowledgement</w:t>
      </w:r>
    </w:p>
    <w:p>
      <w:pPr>
        <w:spacing w:after="140"/>
      </w:pPr>
      <w:r>
        <w:rPr>
          <w:sz w:val="22"/>
          <w:szCs w:val="22"/>
        </w:rPr>
        <w:t xml:space="preserve">Treating doctors, nurses and the Medical Records Officer are trained on this policy at induction and «once a year» after that. Training covers the six continuity items, the discharge-summary copy, the cause-of-death certificate copy, and after-hours access.</w:t>
      </w:r>
    </w:p>
    <w:p>
      <w:pPr>
        <w:spacing w:after="140"/>
      </w:pPr>
      <w:r>
        <w:rPr>
          <w:sz w:val="22"/>
          <w:szCs w:val="22"/>
        </w:rPr>
        <w:t xml:space="preserve">Staff acknowledgement</w:t>
      </w:r>
    </w:p>
    <w:p>
      <w:pPr>
        <w:spacing w:after="140"/>
      </w:pPr>
      <w:r>
        <w:rPr>
          <w:sz w:val="22"/>
          <w:szCs w:val="22"/>
        </w:rPr>
        <w:t xml:space="preserve">I have read this Medical Record Reflects Continuity of Care policy of «Hospital Name». I understand the six continuity items, including the discharge-summary copy and the cause-of-death certificate copy, and how care providers obtain current and past records.</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person. The Medical Records Officer holds signed acknowledgements.)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Medical Records Officer holds signed acknowledgements.</w:t>
      </w:r>
    </w:p>
    <w:p>
      <w:pPr>
        <w:pStyle w:val="Heading1"/>
        <w:spacing w:after="120" w:before="280"/>
      </w:pPr>
      <w:r>
        <w:t>9. Distribution</w:t>
      </w:r>
    </w:p>
    <w:p>
      <w:pPr>
        <w:spacing w:after="140"/>
      </w:pPr>
      <w:r>
        <w:rPr>
          <w:sz w:val="22"/>
          <w:szCs w:val="22"/>
        </w:rPr>
        <w:t xml:space="preserve">Official master copy: office of the Medical Superintendent, «Hospital Name», with the Medical Records Officer and the Quality Coordinator.</w:t>
      </w:r>
    </w:p>
    <w:p>
      <w:pPr>
        <w:spacing w:after="140"/>
      </w:pPr>
      <w:r>
        <w:rPr>
          <w:sz w:val="22"/>
          <w:szCs w:val="22"/>
        </w:rPr>
        <w:t xml:space="preserve">Copies issued to: all clinical departments; nursing administration; records office.</w:t>
      </w:r>
    </w:p>
    <w:p>
      <w:pPr>
        <w:spacing w:after="140"/>
      </w:pPr>
      <w:r>
        <w:rPr>
          <w:sz w:val="22"/>
          <w:szCs w:val="22"/>
        </w:rPr>
        <w:t xml:space="preserve">The current version is available to all staff at the «records-office policy file» and, if the hospital keeps an intranet, at «staff intranet / policies».</w:t>
      </w:r>
    </w:p>
    <w:p>
      <w:pPr>
        <w:spacing w:after="140"/>
      </w:pPr>
      <w:r>
        <w:rPr>
          <w:sz w:val="22"/>
          <w:szCs w:val="22"/>
        </w:rPr>
        <w:t xml:space="preserve">When a new version is issued, take old copies out of use.</w:t>
      </w:r>
    </w:p>
    <w:p>
      <w:pPr>
        <w:pStyle w:val="Heading1"/>
        <w:spacing w:after="120" w:before="280"/>
      </w:pPr>
      <w:r>
        <w:t>10. Abbreviations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rPr>
              <w:t>Abbreviation</w:t>
            </w:r>
          </w:p>
        </w:tc>
        <w:tc>
          <w:tcPr>
            <w:tcW w:type="pct" w:w="22%"/>
            <w:tcBorders>
              <w:top w:val="single" w:color="999999" w:sz="4"/>
              <w:left w:val="single" w:color="999999" w:sz="4"/>
              <w:bottom w:val="single" w:color="999999" w:sz="4"/>
              <w:right w:val="single" w:color="999999" w:sz="4"/>
            </w:tcBorders>
            <w:shd w:fill="E8E8E8" w:val="clear"/>
          </w:tcPr>
          <w:p>
            <w:r>
              <w:rPr>
                <w:b/>
              </w:rPr>
              <w:t>Meaning</w:t>
            </w:r>
          </w:p>
        </w:tc>
      </w:tr>
      <w:tr>
        <w:tc>
          <w:tcPr>
            <w:tcW w:type="pct" w:w="22%"/>
            <w:tcBorders>
              <w:top w:val="single" w:color="999999" w:sz="4"/>
              <w:left w:val="single" w:color="999999" w:sz="4"/>
              <w:bottom w:val="single" w:color="999999" w:sz="4"/>
              <w:right w:val="single" w:color="999999" w:sz="4"/>
            </w:tcBorders>
            <w:shd w:fill="E8E8E8" w:val="clear"/>
          </w:tcPr>
          <w:p>
            <w:r>
              <w:rPr>
                <w:b w:val="0"/>
              </w:rPr>
              <w:t>CAPA</w:t>
            </w:r>
          </w:p>
        </w:tc>
        <w:tc>
          <w:tcPr>
            <w:tcW w:type="pct" w:w="22%"/>
            <w:tcBorders>
              <w:top w:val="single" w:color="999999" w:sz="4"/>
              <w:left w:val="single" w:color="999999" w:sz="4"/>
              <w:bottom w:val="single" w:color="999999" w:sz="4"/>
              <w:right w:val="single" w:color="999999" w:sz="4"/>
            </w:tcBorders>
            <w:shd w:fill="E8E8E8" w:val="clear"/>
          </w:tcPr>
          <w:p>
            <w:r>
              <w:rPr>
                <w:b w:val="0"/>
              </w:rPr>
              <w:t>corrective and preventive action</w:t>
            </w:r>
          </w:p>
        </w:tc>
      </w:tr>
      <w:tr>
        <w:tc>
          <w:tcPr>
            <w:tcW w:type="pct" w:w="22%"/>
            <w:tcBorders>
              <w:top w:val="single" w:color="999999" w:sz="4"/>
              <w:left w:val="single" w:color="999999" w:sz="4"/>
              <w:bottom w:val="single" w:color="999999" w:sz="4"/>
              <w:right w:val="single" w:color="999999" w:sz="4"/>
            </w:tcBorders>
            <w:shd w:fill="E8E8E8" w:val="clear"/>
          </w:tcPr>
          <w:p>
            <w:r>
              <w:rPr>
                <w:b w:val="0"/>
              </w:rPr>
              <w:t>IMS</w:t>
            </w:r>
          </w:p>
        </w:tc>
        <w:tc>
          <w:tcPr>
            <w:tcW w:type="pct" w:w="22%"/>
            <w:tcBorders>
              <w:top w:val="single" w:color="999999" w:sz="4"/>
              <w:left w:val="single" w:color="999999" w:sz="4"/>
              <w:bottom w:val="single" w:color="999999" w:sz="4"/>
              <w:right w:val="single" w:color="999999" w:sz="4"/>
            </w:tcBorders>
            <w:shd w:fill="E8E8E8" w:val="clear"/>
          </w:tcPr>
          <w:p>
            <w:r>
              <w:rPr>
                <w:b w:val="0"/>
              </w:rPr>
              <w:t>Information Management System (NABH SHCO chapter 10)</w:t>
            </w:r>
          </w:p>
        </w:tc>
      </w:tr>
      <w:tr>
        <w:tc>
          <w:tcPr>
            <w:tcW w:type="pct" w:w="22%"/>
            <w:tcBorders>
              <w:top w:val="single" w:color="999999" w:sz="4"/>
              <w:left w:val="single" w:color="999999" w:sz="4"/>
              <w:bottom w:val="single" w:color="999999" w:sz="4"/>
              <w:right w:val="single" w:color="999999" w:sz="4"/>
            </w:tcBorders>
            <w:shd w:fill="E8E8E8" w:val="clear"/>
          </w:tcPr>
          <w:p>
            <w:r>
              <w:rPr>
                <w:b w:val="0"/>
              </w:rPr>
              <w:t>NABH</w:t>
            </w:r>
          </w:p>
        </w:tc>
        <w:tc>
          <w:tcPr>
            <w:tcW w:type="pct" w:w="22%"/>
            <w:tcBorders>
              <w:top w:val="single" w:color="999999" w:sz="4"/>
              <w:left w:val="single" w:color="999999" w:sz="4"/>
              <w:bottom w:val="single" w:color="999999" w:sz="4"/>
              <w:right w:val="single" w:color="999999" w:sz="4"/>
            </w:tcBorders>
            <w:shd w:fill="E8E8E8" w:val="clear"/>
          </w:tcPr>
          <w:p>
            <w:r>
              <w:rPr>
                <w:b w:val="0"/>
              </w:rPr>
              <w:t>National Accreditation Board for Hospitals and Healthcare Providers</w:t>
            </w:r>
          </w:p>
        </w:tc>
      </w:tr>
      <w:tr>
        <w:tc>
          <w:tcPr>
            <w:tcW w:type="pct" w:w="22%"/>
            <w:tcBorders>
              <w:top w:val="single" w:color="999999" w:sz="4"/>
              <w:left w:val="single" w:color="999999" w:sz="4"/>
              <w:bottom w:val="single" w:color="999999" w:sz="4"/>
              <w:right w:val="single" w:color="999999" w:sz="4"/>
            </w:tcBorders>
            <w:shd w:fill="E8E8E8" w:val="clear"/>
          </w:tcPr>
          <w:p>
            <w:r>
              <w:rPr>
                <w:b w:val="0"/>
              </w:rPr>
              <w:t>OE</w:t>
            </w:r>
          </w:p>
        </w:tc>
        <w:tc>
          <w:tcPr>
            <w:tcW w:type="pct" w:w="22%"/>
            <w:tcBorders>
              <w:top w:val="single" w:color="999999" w:sz="4"/>
              <w:left w:val="single" w:color="999999" w:sz="4"/>
              <w:bottom w:val="single" w:color="999999" w:sz="4"/>
              <w:right w:val="single" w:color="999999" w:sz="4"/>
            </w:tcBorders>
            <w:shd w:fill="E8E8E8" w:val="clear"/>
          </w:tcPr>
          <w:p>
            <w:r>
              <w:rPr>
                <w:b w:val="0"/>
              </w:rPr>
              <w:t>objective element</w:t>
            </w:r>
          </w:p>
        </w:tc>
      </w:tr>
      <w:tr>
        <w:tc>
          <w:tcPr>
            <w:tcW w:type="pct" w:w="22%"/>
            <w:tcBorders>
              <w:top w:val="single" w:color="999999" w:sz="4"/>
              <w:left w:val="single" w:color="999999" w:sz="4"/>
              <w:bottom w:val="single" w:color="999999" w:sz="4"/>
              <w:right w:val="single" w:color="999999" w:sz="4"/>
            </w:tcBorders>
            <w:shd w:fill="E8E8E8" w:val="clear"/>
          </w:tcPr>
          <w:p>
            <w:r>
              <w:rPr>
                <w:b w:val="0"/>
              </w:rPr>
              <w:t>SHCO</w:t>
            </w:r>
          </w:p>
        </w:tc>
        <w:tc>
          <w:tcPr>
            <w:tcW w:type="pct" w:w="22%"/>
            <w:tcBorders>
              <w:top w:val="single" w:color="999999" w:sz="4"/>
              <w:left w:val="single" w:color="999999" w:sz="4"/>
              <w:bottom w:val="single" w:color="999999" w:sz="4"/>
              <w:right w:val="single" w:color="999999" w:sz="4"/>
            </w:tcBorders>
            <w:shd w:fill="E8E8E8" w:val="clear"/>
          </w:tcPr>
          <w:p>
            <w:r>
              <w:rPr>
                <w:b w:val="0"/>
              </w:rPr>
              <w:t>Standards for Small Healthcare Organisations</w:t>
            </w:r>
          </w:p>
        </w:tc>
      </w:tr>
    </w:tbl>
    <w:p>
      <w:pPr>
        <w:pStyle w:val="Heading1"/>
        <w:spacing w:after="120" w:before="280"/>
      </w:pPr>
      <w:r>
        <w:t>11. Traceability to NABH SHCO 3rd Edition IMS.3</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12%"/>
            <w:tcBorders>
              <w:top w:val="single" w:color="999999" w:sz="4"/>
              <w:left w:val="single" w:color="999999" w:sz="4"/>
              <w:bottom w:val="single" w:color="999999" w:sz="4"/>
              <w:right w:val="single" w:color="999999" w:sz="4"/>
            </w:tcBorders>
            <w:shd w:fill="E8E8E8" w:val="clear"/>
          </w:tcPr>
          <w:p>
            <w:r>
              <w:rPr>
                <w:b/>
              </w:rPr>
              <w:t>Level</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IMS.3.a</w:t>
            </w:r>
          </w:p>
        </w:tc>
        <w:tc>
          <w:tcPr>
            <w:tcW w:type="pct" w:w="12%"/>
            <w:tcBorders>
              <w:top w:val="single" w:color="999999" w:sz="4"/>
              <w:left w:val="single" w:color="999999" w:sz="4"/>
              <w:bottom w:val="single" w:color="999999" w:sz="4"/>
              <w:right w:val="single" w:color="999999" w:sz="4"/>
            </w:tcBorders>
          </w:tcPr>
          <w:p>
            <w:r>
              <w:t>Commitment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medical record contains information regarding reasons for admission, diagnosis and plan of care.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Statement of intent; Section 3; 5.1 Reasons for admission, diagnosis and plan of care; Section 4 item 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Treating doctors (record); Medical Records Officer (check at filing)</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IMS.3.b</w:t>
            </w:r>
          </w:p>
        </w:tc>
        <w:tc>
          <w:tcPr>
            <w:tcW w:type="pct" w:w="12%"/>
            <w:tcBorders>
              <w:top w:val="single" w:color="999999" w:sz="4"/>
              <w:left w:val="single" w:color="999999" w:sz="4"/>
              <w:bottom w:val="single" w:color="999999" w:sz="4"/>
              <w:right w:val="single" w:color="999999" w:sz="4"/>
            </w:tcBorders>
          </w:tcPr>
          <w:p>
            <w:r>
              <w:t>Commitment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medical record contains the details of assessments, reassessments, consultations, results of investigations, operative and other procedures, and the details of the care provided.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Assessments, investigations, procedures and care provided; Section 4 item 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Treating doctors and nurses (record); Medical Records Officer (completeness check)</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IMS.3.c</w:t>
            </w:r>
          </w:p>
        </w:tc>
        <w:tc>
          <w:tcPr>
            <w:tcW w:type="pct" w:w="12%"/>
            <w:tcBorders>
              <w:top w:val="single" w:color="999999" w:sz="4"/>
              <w:left w:val="single" w:color="999999" w:sz="4"/>
              <w:bottom w:val="single" w:color="999999" w:sz="4"/>
              <w:right w:val="single" w:color="999999" w:sz="4"/>
            </w:tcBorders>
          </w:tcPr>
          <w:p>
            <w:r>
              <w:t>Commitment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When a patient is transferred to another hospital, the medical record contains the details of the transfer.</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Transfer to another hospital; Section 4 item 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Treating doctors (write transfer details); Medical Records Officer (file copy)</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IMS.3.d</w:t>
            </w:r>
          </w:p>
        </w:tc>
        <w:tc>
          <w:tcPr>
            <w:tcW w:type="pct" w:w="12%"/>
            <w:tcBorders>
              <w:top w:val="single" w:color="999999" w:sz="4"/>
              <w:left w:val="single" w:color="999999" w:sz="4"/>
              <w:bottom w:val="single" w:color="999999" w:sz="4"/>
              <w:right w:val="single" w:color="999999" w:sz="4"/>
            </w:tcBorders>
          </w:tcPr>
          <w:p>
            <w:r>
              <w:t>Commitment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medical record contains a copy of the discharge summary.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Copy of the discharge summary in the record; Section 4 item 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Treating doctors (prepare summary — AAC.8); Medical Records Officer (file copy)</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IMS.3.e</w:t>
            </w:r>
          </w:p>
        </w:tc>
        <w:tc>
          <w:tcPr>
            <w:tcW w:type="pct" w:w="12%"/>
            <w:tcBorders>
              <w:top w:val="single" w:color="999999" w:sz="4"/>
              <w:left w:val="single" w:color="999999" w:sz="4"/>
              <w:bottom w:val="single" w:color="999999" w:sz="4"/>
              <w:right w:val="single" w:color="999999" w:sz="4"/>
            </w:tcBorders>
          </w:tcPr>
          <w:p>
            <w:r>
              <w:t>Commitment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In case of death, the medical record contains a copy of the cause-of-death certificate.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 Cause-of-death certificate copy; Section 4 item 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Treating / certifying doctor (file copy); Medical Records Officer (check before closure)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IMS.3.f</w:t>
            </w:r>
          </w:p>
        </w:tc>
        <w:tc>
          <w:tcPr>
            <w:tcW w:type="pct" w:w="12%"/>
            <w:tcBorders>
              <w:top w:val="single" w:color="999999" w:sz="4"/>
              <w:left w:val="single" w:color="999999" w:sz="4"/>
              <w:bottom w:val="single" w:color="999999" w:sz="4"/>
              <w:right w:val="single" w:color="999999" w:sz="4"/>
            </w:tcBorders>
          </w:tcPr>
          <w:p>
            <w:r>
              <w:t>Commitment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Care providers have access to current and past medical record.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5.6 Care providers' access to current and past medical records; Section 4 item 6</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Records Officer (day retrieval); nursing supervisor on duty (after-hours retrieval)</w:t>
            </w:r>
          </w:p>
        </w:tc>
      </w:tr>
    </w:tbl>
    <w:p>
      <w:pPr>
        <w:pStyle w:val="Heading1"/>
        <w:spacing w:after="120" w:before="280"/>
      </w:pPr>
      <w:r>
        <w:t>12.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IMS.3.a — The medical record contains information regarding reasons for admission, diagnosis and plan of care.</w:t>
      </w:r>
    </w:p>
    <w:p>
      <w:pPr>
        <w:pStyle w:val="ListParagraph"/>
        <w:numPr>
          <w:ilvl w:val="0"/>
          <w:numId w:val="1"/>
        </w:numPr>
        <w:spacing w:after="60"/>
      </w:pPr>
      <w:r>
        <w:rPr>
          <w:sz w:val="22"/>
          <w:szCs w:val="22"/>
        </w:rPr>
        <w:t xml:space="preserve">Medical record with reason for admission, diagnosis and plan of care present.</w:t>
      </w:r>
    </w:p>
    <w:p>
      <w:pPr>
        <w:pStyle w:val="ListParagraph"/>
        <w:numPr>
          <w:ilvl w:val="0"/>
          <w:numId w:val="1"/>
        </w:numPr>
        <w:spacing w:after="60"/>
      </w:pPr>
      <w:r>
        <w:rPr>
          <w:sz w:val="22"/>
          <w:szCs w:val="22"/>
        </w:rPr>
        <w:t xml:space="preserve">Filing checklist confirming these three items.</w:t>
      </w:r>
    </w:p>
    <w:p>
      <w:pPr>
        <w:pStyle w:val="ListParagraph"/>
        <w:numPr>
          <w:ilvl w:val="0"/>
          <w:numId w:val="1"/>
        </w:numPr>
        <w:spacing w:after="60"/>
      </w:pPr>
      <w:r>
        <w:rPr>
          <w:sz w:val="22"/>
          <w:szCs w:val="22"/>
        </w:rPr>
        <w:t xml:space="preserve">Quarterly audit sample of presence.</w:t>
      </w:r>
    </w:p>
    <w:p>
      <w:pPr>
        <w:pStyle w:val="Heading2"/>
        <w:spacing w:after="100" w:before="220"/>
      </w:pPr>
      <w:r>
        <w:t xml:space="preserve">IMS.3.b — The medical record contains the details of assessments, reassessments, consultations, results of investigations, operative and other procedures, and the details of the care provided.</w:t>
      </w:r>
    </w:p>
    <w:p>
      <w:pPr>
        <w:pStyle w:val="ListParagraph"/>
        <w:numPr>
          <w:ilvl w:val="0"/>
          <w:numId w:val="1"/>
        </w:numPr>
        <w:spacing w:after="60"/>
      </w:pPr>
      <w:r>
        <w:rPr>
          <w:sz w:val="22"/>
          <w:szCs w:val="22"/>
        </w:rPr>
        <w:t xml:space="preserve">Record containing assessments, consultations, investigation results, procedure notes and care details.</w:t>
      </w:r>
    </w:p>
    <w:p>
      <w:pPr>
        <w:pStyle w:val="ListParagraph"/>
        <w:numPr>
          <w:ilvl w:val="0"/>
          <w:numId w:val="1"/>
        </w:numPr>
        <w:spacing w:after="60"/>
      </w:pPr>
      <w:r>
        <w:rPr>
          <w:sz w:val="22"/>
          <w:szCs w:val="22"/>
        </w:rPr>
        <w:t xml:space="preserve">Gap list for any missing item before record closure.</w:t>
      </w:r>
    </w:p>
    <w:p>
      <w:pPr>
        <w:pStyle w:val="ListParagraph"/>
        <w:numPr>
          <w:ilvl w:val="0"/>
          <w:numId w:val="1"/>
        </w:numPr>
        <w:spacing w:after="60"/>
      </w:pPr>
      <w:r>
        <w:rPr>
          <w:sz w:val="22"/>
          <w:szCs w:val="22"/>
        </w:rPr>
        <w:t xml:space="preserve">Quarterly audit sample of continuity-chain completeness.</w:t>
      </w:r>
    </w:p>
    <w:p>
      <w:pPr>
        <w:pStyle w:val="Heading2"/>
        <w:spacing w:after="100" w:before="220"/>
      </w:pPr>
      <w:r>
        <w:t xml:space="preserve">IMS.3.c — When a patient is transferred to another hospital, the medical record contains the details of the transfer.</w:t>
      </w:r>
    </w:p>
    <w:p>
      <w:pPr>
        <w:pStyle w:val="ListParagraph"/>
        <w:numPr>
          <w:ilvl w:val="0"/>
          <w:numId w:val="1"/>
        </w:numPr>
        <w:spacing w:after="60"/>
      </w:pPr>
      <w:r>
        <w:rPr>
          <w:sz w:val="22"/>
          <w:szCs w:val="22"/>
        </w:rPr>
        <w:t xml:space="preserve">Transfer note in the record for every transfer-out (reason, receiving organisation, time, condition, documents sent).</w:t>
      </w:r>
    </w:p>
    <w:p>
      <w:pPr>
        <w:pStyle w:val="ListParagraph"/>
        <w:numPr>
          <w:ilvl w:val="0"/>
          <w:numId w:val="1"/>
        </w:numPr>
        <w:spacing w:after="60"/>
      </w:pPr>
      <w:r>
        <w:rPr>
          <w:sz w:val="22"/>
          <w:szCs w:val="22"/>
        </w:rPr>
        <w:t xml:space="preserve">Copy retained after the patient has left.</w:t>
      </w:r>
    </w:p>
    <w:p>
      <w:pPr>
        <w:pStyle w:val="ListParagraph"/>
        <w:numPr>
          <w:ilvl w:val="0"/>
          <w:numId w:val="1"/>
        </w:numPr>
        <w:spacing w:after="60"/>
      </w:pPr>
      <w:r>
        <w:rPr>
          <w:sz w:val="22"/>
          <w:szCs w:val="22"/>
        </w:rPr>
        <w:t xml:space="preserve">Period list of transfers-out matched to records.</w:t>
      </w:r>
    </w:p>
    <w:p>
      <w:pPr>
        <w:pStyle w:val="Heading2"/>
        <w:spacing w:after="100" w:before="220"/>
      </w:pPr>
      <w:r>
        <w:t xml:space="preserve">IMS.3.d — The medical record contains a copy of the discharge summary.</w:t>
      </w:r>
    </w:p>
    <w:p>
      <w:pPr>
        <w:pStyle w:val="ListParagraph"/>
        <w:numPr>
          <w:ilvl w:val="0"/>
          <w:numId w:val="1"/>
        </w:numPr>
        <w:spacing w:after="60"/>
      </w:pPr>
      <w:r>
        <w:rPr>
          <w:sz w:val="22"/>
          <w:szCs w:val="22"/>
        </w:rPr>
        <w:t xml:space="preserve">Discharge-summary copy in every discharged patient's record.</w:t>
      </w:r>
    </w:p>
    <w:p>
      <w:pPr>
        <w:pStyle w:val="ListParagraph"/>
        <w:numPr>
          <w:ilvl w:val="0"/>
          <w:numId w:val="1"/>
        </w:numPr>
        <w:spacing w:after="60"/>
      </w:pPr>
      <w:r>
        <w:rPr>
          <w:sz w:val="22"/>
          <w:szCs w:val="22"/>
        </w:rPr>
        <w:t xml:space="preserve">Filing hold until the copy is present.</w:t>
      </w:r>
    </w:p>
    <w:p>
      <w:pPr>
        <w:pStyle w:val="ListParagraph"/>
        <w:numPr>
          <w:ilvl w:val="0"/>
          <w:numId w:val="1"/>
        </w:numPr>
        <w:spacing w:after="60"/>
      </w:pPr>
      <w:r>
        <w:rPr>
          <w:sz w:val="22"/>
          <w:szCs w:val="22"/>
        </w:rPr>
        <w:t xml:space="preserve">Quarterly rate of records closed with a discharge-summary copy.</w:t>
      </w:r>
    </w:p>
    <w:p>
      <w:pPr>
        <w:pStyle w:val="Heading2"/>
        <w:spacing w:after="100" w:before="220"/>
      </w:pPr>
      <w:r>
        <w:t xml:space="preserve">IMS.3.e — In case of death, the medical record contains a copy of the cause-of-death certificate.</w:t>
      </w:r>
    </w:p>
    <w:p>
      <w:pPr>
        <w:pStyle w:val="ListParagraph"/>
        <w:numPr>
          <w:ilvl w:val="0"/>
          <w:numId w:val="1"/>
        </w:numPr>
        <w:spacing w:after="60"/>
      </w:pPr>
      <w:r>
        <w:rPr>
          <w:sz w:val="22"/>
          <w:szCs w:val="22"/>
        </w:rPr>
        <w:t xml:space="preserve">Cause-of-death certificate copy in every deceased patient's record.</w:t>
      </w:r>
    </w:p>
    <w:p>
      <w:pPr>
        <w:pStyle w:val="ListParagraph"/>
        <w:numPr>
          <w:ilvl w:val="0"/>
          <w:numId w:val="1"/>
        </w:numPr>
        <w:spacing w:after="60"/>
      </w:pPr>
      <w:r>
        <w:rPr>
          <w:sz w:val="22"/>
          <w:szCs w:val="22"/>
        </w:rPr>
        <w:t xml:space="preserve">Filing hold until the copy is present.</w:t>
      </w:r>
    </w:p>
    <w:p>
      <w:pPr>
        <w:pStyle w:val="ListParagraph"/>
        <w:numPr>
          <w:ilvl w:val="0"/>
          <w:numId w:val="1"/>
        </w:numPr>
        <w:spacing w:after="60"/>
      </w:pPr>
      <w:r>
        <w:rPr>
          <w:sz w:val="22"/>
          <w:szCs w:val="22"/>
        </w:rPr>
        <w:t xml:space="preserve">Period list of deaths matched to records with the copy.</w:t>
      </w:r>
    </w:p>
    <w:p>
      <w:pPr>
        <w:pStyle w:val="Heading2"/>
        <w:spacing w:after="100" w:before="220"/>
      </w:pPr>
      <w:r>
        <w:t xml:space="preserve">IMS.3.f — Care providers have access to current and past medical record.</w:t>
      </w:r>
    </w:p>
    <w:p>
      <w:pPr>
        <w:pStyle w:val="ListParagraph"/>
        <w:numPr>
          <w:ilvl w:val="0"/>
          <w:numId w:val="1"/>
        </w:numPr>
        <w:spacing w:after="60"/>
      </w:pPr>
      <w:r>
        <w:rPr>
          <w:sz w:val="22"/>
          <w:szCs w:val="22"/>
        </w:rPr>
        <w:t xml:space="preserve">Written method for current and past-record retrieval, including after hours.</w:t>
      </w:r>
    </w:p>
    <w:p>
      <w:pPr>
        <w:pStyle w:val="ListParagraph"/>
        <w:numPr>
          <w:ilvl w:val="0"/>
          <w:numId w:val="1"/>
        </w:numPr>
        <w:spacing w:after="60"/>
      </w:pPr>
      <w:r>
        <w:rPr>
          <w:sz w:val="22"/>
          <w:szCs w:val="22"/>
        </w:rPr>
        <w:t xml:space="preserve">After-hours retrieval log.</w:t>
      </w:r>
    </w:p>
    <w:p>
      <w:pPr>
        <w:pStyle w:val="ListParagraph"/>
        <w:numPr>
          <w:ilvl w:val="0"/>
          <w:numId w:val="1"/>
        </w:numPr>
        <w:spacing w:after="60"/>
      </w:pPr>
      <w:r>
        <w:rPr>
          <w:sz w:val="22"/>
          <w:szCs w:val="22"/>
        </w:rPr>
        <w:t xml:space="preserve">Quarterly check that a treating care provider can obtain a past record when needed for care.</w:t>
      </w:r>
    </w:p>
    <w:p>
      <w:pPr>
        <w:pStyle w:val="Heading1"/>
        <w:spacing w:after="120" w:before="280"/>
      </w:pPr>
      <w:r>
        <w:t>13. References</w:t>
      </w:r>
    </w:p>
    <w:p>
      <w:pPr>
        <w:pStyle w:val="ListParagraph"/>
        <w:numPr>
          <w:ilvl w:val="0"/>
          <w:numId w:val="1"/>
        </w:numPr>
        <w:spacing w:after="60"/>
      </w:pPr>
      <w:r>
        <w:rPr>
          <w:sz w:val="22"/>
          <w:szCs w:val="22"/>
        </w:rPr>
      </w:r>
      <w:r>
        <w:rPr>
          <w:sz w:val="22"/>
        </w:rPr>
        <w:t xml:space="preserve">National Accreditation Board for Hospitals &amp; Healthcare Providers. (2022). Standards for small healthcare organisations (3rd ed.) — Information Management System chapter, standard IMS.3. </w:t>
      </w:r>
      <w:hyperlink r:id="rId9">
        <w:r>
          <w:rPr>
            <w:rStyle w:val="Hyperlink"/>
            <w:sz w:val="22"/>
            <w:szCs w:val="22"/>
          </w:rPr>
          <w:t>https://nabh.co/programmes/small-healthcare-organisation-shco-accreditation-programme/</w:t>
        </w:r>
      </w:hyperlink>
    </w:p>
    <w:p>
      <w:pPr>
        <w:pStyle w:val="ListParagraph"/>
        <w:numPr>
          <w:ilvl w:val="0"/>
          <w:numId w:val="1"/>
        </w:numPr>
        <w:spacing w:after="60"/>
      </w:pPr>
      <w:r>
        <w:rPr>
          <w:sz w:val="22"/>
          <w:szCs w:val="22"/>
        </w:rPr>
        <w:t xml:space="preserve">Internal documents of «Hospital Name»: medical-record completeness checklist (continuity items); transfer-note copy; discharge-summary copy; cause-of-death certificate copy; after-hours retrieval log.</w:t>
      </w:r>
    </w:p>
    <w:p>
      <w:pPr>
        <w:pStyle w:val="ListParagraph"/>
        <w:numPr>
          <w:ilvl w:val="0"/>
          <w:numId w:val="1"/>
        </w:numPr>
        <w:spacing w:after="60"/>
      </w:pPr>
      <w:r>
        <w:rPr>
          <w:sz w:val="22"/>
          <w:szCs w:val="22"/>
        </w:rPr>
        <w:t xml:space="preserve">Cross-referenced policies: AAC.2 (transfer-out); AAC.3 (assessment and plan); AAC.7 (handover); AAC.8 (discharge summary and death summary); COP (operative and procedure notes).</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SHCO 3rd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 «Hospital Name» must verify its obligations under applicable data-protection law (data-protection law has evolved since 2022). That verification is the hospital's duty; it is not a cited requirement of this NABH SHCO 3rd Edition standard.</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«Hospital Name»  |  «IMS/POL/03»  |  Controlled document  |  Policy on Medical Record Reflects Continuity of Care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hyperlink" Target="https://nabh.co/programmes/small-healthcare-organisation-shco-accreditation-programme/"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2026-08-20T03:58:19.732Z</dcterms:created>
  <dcterms:modified xsi:type="dcterms:W3CDTF">2026-08-20T03:58:19.732Z</dcterms:modified>
</cp:coreProperties>
</file>

<file path=docProps/custom.xml><?xml version="1.0" encoding="utf-8"?>
<Properties xmlns="http://schemas.openxmlformats.org/officeDocument/2006/custom-properties" xmlns:vt="http://schemas.openxmlformats.org/officeDocument/2006/docPropsVTypes"/>
</file>