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Education and Communication about Healthcare Needs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«Hospital Name»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Rights at entry are covered by the rights-display policy. The consent conversation is covered by the informed-consent policy. Follow-up advice on the discharge summary is covered by the discharge-summary policy.</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pStyle w:val="Heading1"/>
        <w:spacing w:after="120" w:before="280"/>
      </w:pPr>
      <w:r>
        <w:t xml:space="preserve">3. Policy standards</w:t>
      </w:r>
    </w:p>
    <w:p>
      <w:pPr>
        <w:spacing w:after="140"/>
      </w:pPr>
      <w:r>
        <w:rPr>
          <w:sz w:val="22"/>
          <w:szCs w:val="22"/>
        </w:rPr>
        <w:t xml:space="preserve">«Hospital Name» educates the patient and/or family in a language and format that they can understand.</w:t>
      </w:r>
    </w:p>
    <w:p>
      <w:pPr>
        <w:spacing w:after="140"/>
      </w:pPr>
      <w:r>
        <w:rPr>
          <w:sz w:val="22"/>
          <w:szCs w:val="22"/>
        </w:rPr>
        <w:t xml:space="preserve">«Hospital Name» educates about safe and effective use of medication and potential side effects when appropriate.</w:t>
      </w:r>
    </w:p>
    <w:p>
      <w:pPr>
        <w:spacing w:after="140"/>
      </w:pPr>
      <w:r>
        <w:rPr>
          <w:sz w:val="22"/>
          <w:szCs w:val="22"/>
        </w:rPr>
        <w:t xml:space="preserve">«Hospital Name» educates about food-drug interaction and about diet, nutrition and immunisations.</w:t>
      </w:r>
    </w:p>
    <w:p>
      <w:pPr>
        <w:spacing w:after="140"/>
      </w:pPr>
      <w:r>
        <w:rPr>
          <w:sz w:val="22"/>
          <w:szCs w:val="22"/>
        </w:rPr>
        <w:t xml:space="preserve">«Hospital Name» educates about the specific disease process, complications and prevention strategies.</w:t>
      </w:r>
    </w:p>
    <w:p>
      <w:pPr>
        <w:spacing w:after="140"/>
      </w:pPr>
      <w:r>
        <w:rPr>
          <w:sz w:val="22"/>
          <w:szCs w:val="22"/>
        </w:rPr>
        <w:t xml:space="preserve">«Hospital Name» educates about preventing healthcare-associated infections.</w:t>
      </w:r>
    </w:p>
    <w:p>
      <w:pPr>
        <w:spacing w:after="140"/>
      </w:pPr>
      <w:r>
        <w:rPr>
          <w:sz w:val="22"/>
          <w:szCs w:val="22"/>
        </w:rPr>
        <w:t xml:space="preserve">«Hospital Name»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5. Rewriting the medication-administration, medication-event-monitoring, nutrition, paediatric, or infection-control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Language and format — spoken language, written material, interpreter, accompanying family as translator, and what is done when the patient cannot read — are chosen and recorded in «Hindi and English» or the patient's language. The informed-consent policy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Education is given at start of a medicine, at a change, or at discharge as this hospital defines — «at start and at any dose change, and again at discharge if the medicine continues». Administration remains with the medication-administration policy. Event capture remains with the medication-event-monitoring policy.</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Teaching for each topic this hospital uses is recorded. Nutritional-risk screen and therapeutic diet remain with the nutrition policy. Paediatric immunisation assessment remains with the paediatric-care policy.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Teaching covers the condition this patient has, not only a generic poster. Diagnosis and care plan remain with the assessment-and-care-planning policy.</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Patients and families are told what they can do — hand hygiene, not touching devices, telling staff of fever — as «a short ward talk at admission and a reminder at discharge». Bundles and surveillance remain with the infection-control policies.</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Reviewed «annually» or sooner when the discharge-summary, medication-management or infection-control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Rights and Education chapter, standard PRE.4.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«Hospital Name»: education methods; rights, consent, discharge, medication and infection-prevention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«PRE/POL/04»  |  Controlled document  |  Policy on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2026-08-19T07:21:33.115Z</dcterms:created>
  <dcterms:modified xsi:type="dcterms:W3CDTF">2026-08-19T07:21:33.115Z</dcterms:modified>
</cp:coreProperties>
</file>

<file path=docProps/custom.xml><?xml version="1.0" encoding="utf-8"?>
<Properties xmlns="http://schemas.openxmlformats.org/officeDocument/2006/custom-properties" xmlns:vt="http://schemas.openxmlformats.org/officeDocument/2006/docPropsVTypes"/>
</file>