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on Expected Costs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The right to cost information is covered by the patient-rights policy. Promotion of that right is covered by the rights-display policy. This policy owns the figures and the explanation. It is not the billing ledger.</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When the treating doctor changes the plan in a way that changes cost, «the nurse or doctor tells the family the same day» and billing records it. Clinical modification remains with the assessment-and-care-planning and patient-rights policies;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Reviewed «annually» or when the patient-rights or assessment-and-care-planning policies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Rights and Education chapter, standard PRE.5.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«PRE/POL/05»  |  Controlled document  |  Policy on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2026-08-19T07:21:33.261Z</dcterms:created>
  <dcterms:modified xsi:type="dcterms:W3CDTF">2026-08-19T07:21:33.261Z</dcterms:modified>
</cp:coreProperties>
</file>

<file path=docProps/custom.xml><?xml version="1.0" encoding="utf-8"?>
<Properties xmlns="http://schemas.openxmlformats.org/officeDocument/2006/custom-properties" xmlns:vt="http://schemas.openxmlformats.org/officeDocument/2006/docPropsVTypes"/>
</file>