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COP.5.f — Post-transfusion form, reactions and analysis</w:t>
      </w:r>
    </w:p>
    <w:p>
      <w:r>
        <w:t>COP.5 Record 6 — Post-transfusion form collection and reaction analysis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Patient Name / UHID: Patient identification.</w:t>
      </w:r>
    </w:p>
    <w:p>
      <w:pPr>
        <w:pStyle w:val="ListParagraph"/>
      </w:pPr>
      <w:r>
        <w:t>Post-Transfusion Form Collected? (Y/N, date): Confirms the form was completed and filed.</w:t>
      </w:r>
    </w:p>
    <w:p>
      <w:pPr>
        <w:pStyle w:val="ListParagraph"/>
      </w:pPr>
      <w:r>
        <w:t>Reaction Identified? (Y/N): Whether any reaction was suspected or confirmed.</w:t>
      </w:r>
    </w:p>
    <w:p>
      <w:pPr>
        <w:pStyle w:val="ListParagraph"/>
      </w:pPr>
      <w:r>
        <w:t>Classification / Work-up (if any): How the reaction was classified and what work-up was done.</w:t>
      </w:r>
    </w:p>
    <w:p>
      <w:pPr>
        <w:pStyle w:val="ListParagraph"/>
      </w:pPr>
      <w:r>
        <w:t>Analysed By / Forum / Date: Who reviewed the case and when.</w:t>
      </w:r>
    </w:p>
    <w:p>
      <w:pPr>
        <w:pStyle w:val="ListParagraph"/>
      </w:pPr>
      <w:r>
        <w:t>Corrective/Preventive Action, Owner, Due Date: Any action assigned as a result.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A log proving every single reaction, however minor, is actually analysed by someone -- not just treated at the bedside and forgotten.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A patient develops a mild fever during a transfusion. It's stopped, treated, and documented on the form; the committee reviews it the same week and records whether anything should change for the patient's next transfusion.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NABH requires the post-transfusion form to be collected, reactions identified, and analysed for corrective and preventive action.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Patient Name / UHID</w:t>
            </w:r>
          </w:p>
        </w:tc>
        <w:tc>
          <w:tcPr>
            <w:tcW w:type="dxa" w:w="1440"/>
          </w:tcPr>
          <w:p>
            <w:r>
              <w:t>Post-Transfusion Form Collected? (Y/N, date)</w:t>
            </w:r>
          </w:p>
        </w:tc>
        <w:tc>
          <w:tcPr>
            <w:tcW w:type="dxa" w:w="1440"/>
          </w:tcPr>
          <w:p>
            <w:r>
              <w:t>Reaction Identified? (Y/N)</w:t>
            </w:r>
          </w:p>
        </w:tc>
        <w:tc>
          <w:tcPr>
            <w:tcW w:type="dxa" w:w="1440"/>
          </w:tcPr>
          <w:p>
            <w:r>
              <w:t>Classification / Work-up (if any)</w:t>
            </w:r>
          </w:p>
        </w:tc>
        <w:tc>
          <w:tcPr>
            <w:tcW w:type="dxa" w:w="1440"/>
          </w:tcPr>
          <w:p>
            <w:r>
              <w:t>Analysed By / Forum / Date</w:t>
            </w:r>
          </w:p>
        </w:tc>
        <w:tc>
          <w:tcPr>
            <w:tcW w:type="dxa" w:w="1440"/>
          </w:tcPr>
          <w:p>
            <w:r>
              <w:t>Corrective/Preventive Action, Owner, Due Date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UHID-00452</w:t>
            </w:r>
          </w:p>
        </w:tc>
        <w:tc>
          <w:tcPr>
            <w:tcW w:type="dxa" w:w="1440"/>
            <w:shd w:val="clear" w:color="auto" w:fill="FFF2CC"/>
          </w:tcPr>
          <w:p>
            <w:r>
              <w:t>Y, 12/03/2026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Y</w:t>
            </w:r>
          </w:p>
        </w:tc>
        <w:tc>
          <w:tcPr>
            <w:tcW w:type="dxa" w:w="1440"/>
            <w:shd w:val="clear" w:color="auto" w:fill="FFF2CC"/>
          </w:tcPr>
          <w:p>
            <w:r>
              <w:t>Mild febrile non-haemolytic reaction</w:t>
            </w:r>
          </w:p>
        </w:tc>
        <w:tc>
          <w:tcPr>
            <w:tcW w:type="dxa" w:w="1440"/>
            <w:shd w:val="clear" w:color="auto" w:fill="FFF2CC"/>
          </w:tcPr>
          <w:p>
            <w:r>
              <w:t>Transfusion Committee, 15/03/2026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Pre-transfusion paracetamol considered for repeat transfusions -- Dr. «Name» -- 20/03/2026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