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Transfusion of Blood and Blood Components</w:t>
      </w:r>
    </w:p>
    <w:p>
      <w:r>
        <w:t>«Hospital Name» — Supports COP.5.a-f</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staff, in one place, that every unit of blood this hospital transfuses comes from a licensed source, how a unit actually gets matched and hung to the right patient at the bedside, why a transfusion needs a real clinical reason rather than a habit, how consent for transfusion and for donation are obtained, how an emergency unit is made available within a time the hospital has actually defined and measured, and how every reaction gets captured and analysed. If you request, collect, issue, or administer blood, this SOP is for you -- and the bedside identity check in step 2 is the single most important paragraph in it.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SOP-COP.5</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transfusion services are kept aligned with the hospital's defined scope and governed by law; how a unit is safely matched and administered to the correct patient at the bedside; how blood and blood components are used rationally rather than by habit; how consent for transfusion and for donation is obtained; how emergency availability of blood is defined, measured and acted on; and how every reaction is captured and analysed for corrective and preventive action.</w:t>
      </w:r>
    </w:p>
    <w:p>
      <w:pPr>
        <w:pStyle w:val="Heading1"/>
      </w:pPr>
      <w:r>
        <w:t>2. Scope</w:t>
      </w:r>
    </w:p>
    <w:p>
      <w:r>
        <w:t>Applies to every location in the hospital where blood or a blood component is requested, issued, transported, stored pending transfusion, administered, or followed up after administration. It does not restate laboratory compatibility testing or the specimen pathway (the laboratory-services process), the two identifiers used across the hospital (the uniform-care SOP), hand hygiene/PPE at administration (the infection-control SOPs), or disposal of used bags and tubing (the biomedical-waste programme) -- this SOP owns the clinical transfusion itself: the request, the bedside match, administration, monitoring, emergency availability, consent, and the reaction pathway.</w:t>
      </w:r>
    </w:p>
    <w:p>
      <w:pPr>
        <w:pStyle w:val="Heading1"/>
      </w:pPr>
      <w:r>
        <w:t>3. Responsibility</w:t>
      </w:r>
    </w:p>
    <w:p>
      <w:r>
        <w:rPr>
          <w:b/>
        </w:rPr>
        <w:t xml:space="preserve">Person in Charge of Transfusion Services: </w:t>
      </w:r>
      <w:r>
        <w:t>Keeps the transfusion scope and blood bank licence evidence current, holds the safe-transfusion and rational-use guidance, holds the emergency-availability arrangement, and stops issue of any non-emergency unit with no recorded indication.</w:t>
      </w:r>
    </w:p>
    <w:p>
      <w:r>
        <w:rPr>
          <w:b/>
        </w:rPr>
        <w:t xml:space="preserve">Requesting Clinician: </w:t>
      </w:r>
      <w:r>
        <w:t>Records the clinical indication for every non-emergency request, considers non-transfusion alternatives, obtains transfusion consent, and remains responsible for the decision to transfuse.</w:t>
      </w:r>
    </w:p>
    <w:p>
      <w:r>
        <w:rPr>
          <w:b/>
        </w:rPr>
        <w:t xml:space="preserve">Staff Who Administer the Transfusion: </w:t>
      </w:r>
      <w:r>
        <w:t>Perform the bedside identity check before hanging any unit, monitor the patient, stop the transfusion immediately if a reaction is suspected, and complete the administration record and the post-transfusion form.</w:t>
      </w:r>
    </w:p>
    <w:p>
      <w:r>
        <w:rPr>
          <w:b/>
        </w:rPr>
        <w:t xml:space="preserve">Quality/Accreditation Coordinator: </w:t>
      </w:r>
      <w:r>
        <w:t>Audits transfusion records, bedside identity-check compliance, emergency-availability performance, and reaction analysis on the defined interval, and reports findings to the Head of the Institution.</w:t>
      </w:r>
    </w:p>
    <w:p>
      <w:r>
        <w:rPr>
          <w:b/>
        </w:rPr>
        <w:t xml:space="preserve">Head of the Institution: </w:t>
      </w:r>
      <w:r>
        <w:t>Is accountable for transfusion services matching the hospital's defined scope, for every unit coming from a licensed source, and for emergency availability that is both defined and actually measured.</w:t>
      </w:r>
    </w:p>
    <w:p>
      <w:pPr>
        <w:pStyle w:val="Heading1"/>
      </w:pPr>
      <w:r>
        <w:t>4. Procedure</w:t>
      </w:r>
    </w:p>
    <w:p>
      <w:pPr>
        <w:pStyle w:val="Heading2"/>
      </w:pPr>
      <w:r>
        <w:t>4.1 Transfusion services commensurate with defined services, governed by law (COP.5.a)</w:t>
      </w:r>
    </w:p>
    <w:p>
      <w:r>
        <w:rPr>
          <w:b/>
        </w:rPr>
        <w:t xml:space="preserve">Why this step matters: </w:t>
      </w:r>
      <w:r>
        <w:t>A hospital that transfuses blood without a licensed source behind it is not running a transfusion service -- it is taking an uncontrolled risk with a human tissue product.</w:t>
      </w:r>
    </w:p>
    <w:p>
      <w:r>
        <w:t>1. «Hospital to define the transfusion scope of services -- the components used, the clinical areas in which transfusion is performed, the hours a unit can be obtained, and whether supply is from a licensed in-house blood centre, a documented arrangement with a licensed blood bank, or both» is kept current and aligned with the hospital's defined service directory.</w:t>
      </w:r>
    </w:p>
    <w:p>
      <w:r>
        <w:t>2. Every unit transfused is issued by a blood bank or blood centre licensed under the Drugs and Cosmetics Act, 1940 and the Drugs and Cosmetics Rules, 1945; current licence evidence for that source is kept on file and checked before renewal expiry.</w:t>
      </w:r>
    </w:p>
    <w:p>
      <w:r>
        <w:t>3. An unlicensed source is never used, even in an emergency; the emergency-availability arrangement at step 5 only ever points to a licensed source. (Record 1)</w:t>
      </w:r>
    </w:p>
    <w:p>
      <w:r>
        <w:rPr>
          <w:b/>
          <w:i/>
        </w:rPr>
        <w:t xml:space="preserve">Technical source(s) for these steps: </w:t>
      </w:r>
    </w:p>
    <w:p>
      <w:pPr>
        <w:pStyle w:val="ListParagraph"/>
        <w:spacing w:before="80" w:after="240"/>
        <w:contextualSpacing w:val="0"/>
      </w:pPr>
      <w:r>
        <w:t xml:space="preserve">• Government of India, Ministry of Health and Family Welfare. (1999). </w:t>
      </w:r>
      <w:hyperlink r:id="rId9">
        <w:r>
          <w:rPr>
            <w:color w:val="0563C1"/>
            <w:u w:val="single"/>
          </w:rPr>
          <w:t>The Drugs and Cosmetics (2nd Amendment) Rules, 1999 (G.S.R. 245(E), dated 5 April 1999), amending the Drugs and Cosmetics Rules, 1945 under the Drugs and Cosmetics Act, 1940</w:t>
        </w:r>
      </w:hyperlink>
      <w:r>
        <w:t xml:space="preserve"> which requires every blood bank to hold a licence (Form 28-C, under Rule 122 / Part X-B and Schedule F Part XII-B) before issuing blood or blood components.</w:t>
      </w:r>
    </w:p>
    <w:p>
      <w:pPr>
        <w:pStyle w:val="Heading2"/>
      </w:pPr>
      <w:r>
        <w:t>4.2 Safe transfusion -- the bedside identity check (COP.5.b)</w:t>
      </w:r>
    </w:p>
    <w:p>
      <w:r>
        <w:rPr>
          <w:b/>
        </w:rPr>
        <w:t xml:space="preserve">Why this step matters: </w:t>
      </w:r>
      <w:r>
        <w:t>A correctly grouped unit given to the wrong patient is, in every way that matters, an incompatible transfusion -- the blood bank cannot see the vein; only the person at the bedside can, and that is why this check is non-negotiable.</w:t>
      </w:r>
    </w:p>
    <w:p>
      <w:r>
        <w:t>1. A transfusion request carries the patient's unique identification number, name, component requested, recorded indication, date/time, and requesting clinician; a unit is not issued against a nameless verbal request except through the documented emergency pathway.</w:t>
      </w:r>
    </w:p>
    <w:p>
      <w:r>
        <w:t>2. The pre-transfusion sample is collected and identified under the hospital's laboratory specimen pathway, with the unique identification number on the sample matching the request; a unit that is leaking, clotted, discoloured, expired, or stored outside «Hospital to define the storage conditions pending transfusion» is never transfused -- it is returned to the issuing source with the reason recorded.</w:t>
      </w:r>
    </w:p>
    <w:p>
      <w:r>
        <w:t>3. Before hanging any unit, the person administering it checks, in the presence of the patient, the hospital's two identifiers against the issue slip and the bag label -- never against a bed number alone and never from the nursing station; a mismatch means the unit is not hung, and the mismatch is recorded as an incident, not filed away as paperwork. (Record 2)</w:t>
      </w:r>
    </w:p>
    <w:p>
      <w:pPr>
        <w:pStyle w:val="Heading2"/>
      </w:pPr>
      <w:r>
        <w:t>4.3 Rational use of blood and blood components (COP.5.c)</w:t>
      </w:r>
    </w:p>
    <w:p>
      <w:r>
        <w:rPr>
          <w:b/>
        </w:rPr>
        <w:t xml:space="preserve">Why this step matters: </w:t>
      </w:r>
      <w:r>
        <w:t>A safely hung unit the patient never needed is still a unit of real risk -- infection, overload, alloimmunisation -- given for no reason, and it is a unit another patient may have needed instead.</w:t>
      </w:r>
    </w:p>
    <w:p>
      <w:r>
        <w:t>1. Every non-emergency request carries a recorded clinical indication, written before the unit is issued, drawn from «Hospital to define the written clinical-indication list for each component, including when a component is not indicated» -- no haemoglobin, platelet or INR number is treated here as a national mandate; this hospital's own reviewed list is what is used.</w:t>
      </w:r>
    </w:p>
    <w:p>
      <w:r>
        <w:t>2. Before a non-emergency request is sent, the requesting clinician records whether a non-transfusion alternative was considered, and a further unit is not requested without reviewing whether the first unit achieved its purpose.</w:t>
      </w:r>
    </w:p>
    <w:p>
      <w:r>
        <w:t>3. A non-emergency unit with no recorded indication is refused by the person releasing it from the clinical side, and the refusal is recorded; a standing order to simply 'keep the haemoglobin up' is not accepted as an indication. (Record 3)</w:t>
      </w:r>
    </w:p>
    <w:p>
      <w:pPr>
        <w:pStyle w:val="Heading2"/>
      </w:pPr>
      <w:r>
        <w:t>4.4 Informed consent for transfusion and for donation (COP.5.d)</w:t>
      </w:r>
    </w:p>
    <w:p>
      <w:r>
        <w:rPr>
          <w:b/>
        </w:rPr>
        <w:t xml:space="preserve">Why this step matters: </w:t>
      </w:r>
      <w:r>
        <w:t>A patient who is transfused without having agreed to it, or a donor who is bled without having agreed to it, has had a decision about their own body made for them -- consent is what prevents that.</w:t>
      </w:r>
    </w:p>
    <w:p>
      <w:r>
        <w:t>1. Consent for transfusion is obtained before the unit is hung, using «Hospital to define the transfusion-consent form and who obtains it»; where a documented emergency makes prior consent impossible, the record states why, and consent is completed as soon as the emergency allows.</w:t>
      </w:r>
    </w:p>
    <w:p>
      <w:r>
        <w:t>2. If donation is performed on this site, consent for donation is obtained before blood is collected from the donor, using «Hospital to define the donation-consent arrangement»; if donation is not performed on this site, that is this hospital's documented position and the licensed blood centre's own act, not this hospital's.</w:t>
      </w:r>
    </w:p>
    <w:p>
      <w:r>
        <w:t>3. Transfusion consent and donation consent are never treated as the same form or the same act. (Record 4)</w:t>
      </w:r>
    </w:p>
    <w:p>
      <w:pPr>
        <w:pStyle w:val="Heading2"/>
      </w:pPr>
      <w:r>
        <w:t>4.5 Emergency availability within a defined time frame (COP.5.e)</w:t>
      </w:r>
    </w:p>
    <w:p>
      <w:r>
        <w:rPr>
          <w:b/>
        </w:rPr>
        <w:t xml:space="preserve">Why this step matters: </w:t>
      </w:r>
      <w:r>
        <w:t>An emergency unit that arrives after the bleeding has already cost the patient their chance has not been 'made available' in any sense that matters -- a time frame that is defined but never measured is just a sentence in a policy.</w:t>
      </w:r>
    </w:p>
    <w:p>
      <w:r>
        <w:t>1. «Hospital to define the time frame within which blood or a blood component is available in an emergency, by component, and the clock it is measured from» is written down -- not stated as 'as soon as possible' with no number, and not borrowed from another hospital.</w:t>
      </w:r>
    </w:p>
    <w:p>
      <w:r>
        <w:t>2. «Hospital to define the emergency-availability arrangement -- the licensed source, the out-of-hours route, who may request an emergency issue, and the emergency-issue pathway when a fully crossmatched unit cannot be waited for» is followed; the bedside identity check at step 2 still happens before the unit is hung, even in this pathway -- an emergency never cancels that check.</w:t>
      </w:r>
    </w:p>
    <w:p>
      <w:r>
        <w:t>3. Actual emergency-availability time is measured against the defined time for every emergency unit issued, and reviewed at «Hospital to define the review interval and forum»; if the defined time will be missed, the treating clinician is told before it elapses, with the reason and the next action. (Record 5)</w:t>
      </w:r>
    </w:p>
    <w:p>
      <w:pPr>
        <w:pStyle w:val="Heading2"/>
      </w:pPr>
      <w:r>
        <w:t>4.6 Post-transfusion form, reactions and analysis (COP.5.f)</w:t>
      </w:r>
    </w:p>
    <w:p>
      <w:r>
        <w:rPr>
          <w:b/>
        </w:rPr>
        <w:t xml:space="preserve">Why this step matters: </w:t>
      </w:r>
      <w:r>
        <w:t>A reaction that is treated at the bedside and never written up or reviewed teaches the hospital nothing, and the next patient gets no benefit from what almost went wrong this time.</w:t>
      </w:r>
    </w:p>
    <w:p>
      <w:r>
        <w:t>1. The post-transfusion form under «Hospital to define who completes it, when it is collected, and where it is filed» is collected for every unit transfused; a unit whose form is not collected is treated as a unit whose outcome is unknown.</w:t>
      </w:r>
    </w:p>
    <w:p>
      <w:r>
        <w:t>2. A suspected reaction -- identified from monitoring, the patient's own report, or a later finding -- is immediately managed per step 2 (transfusion stopped, set retained until the work-up is decided, treating clinician called) and is then captured on the form.</w:t>
      </w:r>
    </w:p>
    <w:p>
      <w:r>
        <w:t>3. Every identified reaction is analysed at «Hospital to define who analyses reactions, at what forum and interval», with a recorded conclusion and, where needed, a corrective or preventive action with an owner and due date; a serious reaction is analysed when it occurs, not held for a later meeting. (Record 6)</w:t>
      </w:r>
    </w:p>
    <w:p>
      <w:pPr>
        <w:pStyle w:val="Heading1"/>
      </w:pPr>
      <w:r>
        <w:t>5. Records</w:t>
      </w:r>
    </w:p>
    <w:p>
      <w:r>
        <w:t>This SOP produces and maintains Records 1-6 (see the COP.5 Records folder).</w:t>
      </w:r>
    </w:p>
    <w:p>
      <w:pPr>
        <w:pStyle w:val="Heading1"/>
      </w:pPr>
      <w:r>
        <w:t>6. Related Documents</w:t>
      </w:r>
    </w:p>
    <w:p>
      <w:pPr>
        <w:pStyle w:val="ListParagraph"/>
      </w:pPr>
      <w:r>
        <w:t>Policy -- Transfusion of Blood and Blood Components (COP.5)</w:t>
      </w:r>
    </w:p>
    <w:p>
      <w:pPr>
        <w:pStyle w:val="ListParagraph"/>
      </w:pPr>
      <w:r>
        <w:t>SOP -- Uniform Care Across Settings and Telemedicine (COP.1)</w:t>
      </w:r>
    </w:p>
    <w:p>
      <w:pPr>
        <w:pStyle w:val="ListParagraph"/>
      </w:pPr>
      <w:r>
        <w:t>Hospital's Laboratory Specimen Pathway</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COP.5.</w:t>
      </w:r>
    </w:p>
    <w:p>
      <w:pPr>
        <w:pStyle w:val="ListParagraph"/>
        <w:spacing w:before="80" w:after="240"/>
        <w:contextualSpacing w:val="0"/>
      </w:pPr>
      <w:r>
        <w:t xml:space="preserve">• Government of India, Ministry of Health and Family Welfare. (1999). </w:t>
      </w:r>
      <w:hyperlink r:id="rId9">
        <w:r>
          <w:rPr>
            <w:color w:val="0563C1"/>
            <w:u w:val="single"/>
          </w:rPr>
          <w:t>The Drugs and Cosmetics (2nd Amendment) Rules, 1999 (G.S.R. 245(E), dated 5 April 1999), amending the Drugs and Cosmetics Rules, 1945 under the Drugs and Cosmetics Act, 1940</w:t>
        </w:r>
      </w:hyperlink>
      <w:r>
        <w:t xml:space="preserve"> which requires every blood bank to hold a licence (Form 28-C, under Rule 122 / Part X-B and Schedule F Part XII-B) before issuing blood or blood components.</w:t>
      </w:r>
    </w:p>
    <w:p>
      <w:pPr>
        <w:pStyle w:val="Heading1"/>
      </w:pPr>
      <w:r>
        <w:t>8. Review</w:t>
      </w:r>
    </w:p>
    <w:p>
      <w:r>
        <w:t>This SOP is reviewed annually, or sooner if a wrong-unit event, a missed emergency unit, or an unanalysed reaction exposes a gap, or if the laboratory, biomedical-waste, infection-control, uniform-care or registration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dsco.gov.in/opencms/resources/UploadCDSCOWeb/2022/drug_rules/DR_G.S.R.%20245(E)%20dt_05.04.1999_Amendment%20to%20Rule%20122_Requirements%20of%20blood%20bank.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