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Prevention of Healthcare Associated Infections in Patients and Staff</w:t>
      </w:r>
    </w:p>
    <w:p>
      <w:pPr>
        <w:spacing w:after="240"/>
        <w:jc w:val="center"/>
      </w:pPr>
      <w:r>
        <w:rPr>
          <w:i/>
          <w:iCs/>
          <w:sz w:val="20"/>
          <w:szCs w:val="20"/>
        </w:rPr>
        <w:t xml:space="preserve">Preventing device-associated infections and occupational exposure.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HIC/POL/04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takes actions to prevent healthcare associated infections (HAI) in patients and staff working in the hospital — catheter-associated UTI, ventilator-associated complications, catheter-linked BSI, surgical site infections, occupational health practices and post-exposure prophylaxis.</w:t>
      </w:r>
    </w:p>
    <w:p>
      <w:pPr>
        <w:pStyle w:val="Heading1"/>
        <w:spacing w:after="120" w:before="280"/>
      </w:pPr>
      <w:r>
        <w:t xml:space="preserve">1. Purpose</w:t>
      </w:r>
    </w:p>
    <w:p>
      <w:pPr>
        <w:spacing w:after="140"/>
      </w:pPr>
      <w:r>
        <w:rPr>
          <w:sz w:val="22"/>
          <w:szCs w:val="22"/>
        </w:rPr>
        <w:t xml:space="preserve">This policy describes the actions Preview Hospital takes to prevent specific healthcare-associated infections (HAI) in patients and to reduce occupational infection risk to staff.</w:t>
      </w:r>
    </w:p>
    <w:p>
      <w:pPr>
        <w:spacing w:after="140"/>
      </w:pPr>
      <w:r>
        <w:rPr>
          <w:sz w:val="22"/>
          <w:szCs w:val="22"/>
        </w:rPr>
        <w:t xml:space="preserve">It covers prevention of catheter-associated urinary tract infection (CAUTI), infection-related ventilator-associated complication / ventilator-associated pneumonia (IVAC/VAP), catheter-linked blood stream infection (CLABSI), surgical site infection (SSI), occupational health and safety practices for healthcare providers, and post-exposure prophylaxis (PEP).</w:t>
      </w:r>
    </w:p>
    <w:p>
      <w:pPr>
        <w:spacing w:after="140"/>
      </w:pPr>
      <w:r>
        <w:rPr>
          <w:sz w:val="22"/>
          <w:szCs w:val="22"/>
        </w:rPr>
        <w:t xml:space="preserve">Boundaries: infection-control occupational response (needlestick, sharps, splash) is owned here; general staff health programmes stay with HRM (not yet built). HIC.5 owns surveillance data that feeds these prevention bundles.</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staff at Preview Hospital who insert, maintain or remove invasive devices, who perform surgical procedures, or who are at risk of occupational exposure to blood and body fluids.</w:t>
      </w:r>
    </w:p>
    <w:p>
      <w:pPr>
        <w:spacing w:after="140"/>
      </w:pPr>
      <w:r>
        <w:rPr>
          <w:sz w:val="22"/>
          <w:szCs w:val="22"/>
        </w:rPr>
        <w:t xml:space="preserve">It covers the six elements HIC.4.a–f name: CAUTI prevention, IVAC/VAP prevention, CLABSI prevention, SSI prevention, occupational health/safety practices, and PEP.</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HIC.1 owns programme governance.</w:t>
      </w:r>
    </w:p>
    <w:p>
      <w:pPr>
        <w:pStyle w:val="ListParagraph"/>
        <w:numPr>
          <w:ilvl w:val="0"/>
          <w:numId w:val="1"/>
        </w:numPr>
        <w:spacing w:after="60"/>
      </w:pPr>
      <w:r>
        <w:rPr>
          <w:sz w:val="22"/>
          <w:szCs w:val="22"/>
        </w:rPr>
        <w:t xml:space="preserve">HIC.2 owns standard precautions, hand hygiene and safe injection practices (upstream of device bundles).</w:t>
      </w:r>
    </w:p>
    <w:p>
      <w:pPr>
        <w:pStyle w:val="ListParagraph"/>
        <w:numPr>
          <w:ilvl w:val="0"/>
          <w:numId w:val="1"/>
        </w:numPr>
        <w:spacing w:after="60"/>
      </w:pPr>
      <w:r>
        <w:rPr>
          <w:sz w:val="22"/>
          <w:szCs w:val="22"/>
        </w:rPr>
        <w:t xml:space="preserve">HIC.3 owns support-service infection control (OT housekeeping stays HIC.3).</w:t>
      </w:r>
    </w:p>
    <w:p>
      <w:pPr>
        <w:pStyle w:val="ListParagraph"/>
        <w:numPr>
          <w:ilvl w:val="0"/>
          <w:numId w:val="1"/>
        </w:numPr>
        <w:spacing w:after="60"/>
      </w:pPr>
      <w:r>
        <w:rPr>
          <w:sz w:val="22"/>
          <w:szCs w:val="22"/>
        </w:rPr>
        <w:t xml:space="preserve">HIC.5 owns surveillance of infection rates and trends.</w:t>
      </w:r>
    </w:p>
    <w:p>
      <w:pPr>
        <w:pStyle w:val="ListParagraph"/>
        <w:numPr>
          <w:ilvl w:val="0"/>
          <w:numId w:val="1"/>
        </w:numPr>
        <w:spacing w:after="60"/>
      </w:pPr>
      <w:r>
        <w:rPr>
          <w:sz w:val="22"/>
          <w:szCs w:val="22"/>
        </w:rPr>
        <w:t xml:space="preserve">HIC.6 owns sterilisation of instruments used in procedures.</w:t>
      </w:r>
    </w:p>
    <w:p>
      <w:pPr>
        <w:pStyle w:val="ListParagraph"/>
        <w:numPr>
          <w:ilvl w:val="0"/>
          <w:numId w:val="1"/>
        </w:numPr>
        <w:spacing w:after="60"/>
      </w:pPr>
      <w:r>
        <w:rPr>
          <w:sz w:val="22"/>
          <w:szCs w:val="22"/>
        </w:rPr>
        <w:t xml:space="preserve">HRM (not yet built) owns general staff health; this policy owns infection-control occupational response.</w:t>
      </w:r>
    </w:p>
    <w:p>
      <w:pPr>
        <w:pStyle w:val="Heading1"/>
        <w:spacing w:after="120" w:before="280"/>
      </w:pPr>
      <w:r>
        <w:t xml:space="preserve">3. Policy standards</w:t>
      </w:r>
    </w:p>
    <w:p>
      <w:pPr>
        <w:spacing w:after="140"/>
      </w:pPr>
      <w:r>
        <w:rPr>
          <w:sz w:val="22"/>
          <w:szCs w:val="22"/>
        </w:rPr>
        <w:t xml:space="preserve">Preview Hospital implements evidence-based bundles to prevent CAUTI, IVAC/VAP, CLABSI and SSI. Occupational health and safety practices reduce the risk of transmitting microorganisms among healthcare providers. Post-exposure prophylaxis is provided to all staff members concerned after a significant exposure.</w:t>
      </w:r>
    </w:p>
    <w:p>
      <w:pPr>
        <w:spacing w:after="140"/>
      </w:pPr>
      <w:r>
        <w:rPr>
          <w:sz w:val="22"/>
          <w:szCs w:val="22"/>
        </w:rPr>
        <w:t xml:space="preserve">A needlestick or sharps exposure triggers the stop-work authority defined in this policy.</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Inserting a urinary catheter without a documented clinical indication.</w:t>
      </w:r>
    </w:p>
    <w:p>
      <w:pPr>
        <w:spacing w:after="80"/>
      </w:pPr>
      <w:r>
        <w:rPr>
          <w:sz w:val="22"/>
          <w:szCs w:val="22"/>
        </w:rPr>
        <w:t xml:space="preserve">2. Leaving a urinary catheter in place beyond the documented need without daily reassessment.</w:t>
      </w:r>
    </w:p>
    <w:p>
      <w:pPr>
        <w:spacing w:after="80"/>
      </w:pPr>
      <w:r>
        <w:rPr>
          <w:sz w:val="22"/>
          <w:szCs w:val="22"/>
        </w:rPr>
        <w:t xml:space="preserve">3. Inserting a central venous catheter without full barrier precautions (cap, mask, sterile gown, sterile gloves, large sterile drape).</w:t>
      </w:r>
    </w:p>
    <w:p>
      <w:pPr>
        <w:spacing w:after="80"/>
      </w:pPr>
      <w:r>
        <w:rPr>
          <w:sz w:val="22"/>
          <w:szCs w:val="22"/>
        </w:rPr>
        <w:t xml:space="preserve">4. Operating without the SSI prevention bundle (appropriate antibiotic prophylaxis timing, skin preparation, normothermia maintenance, glycaemic control where applicable).</w:t>
      </w:r>
    </w:p>
    <w:p>
      <w:pPr>
        <w:spacing w:after="80"/>
      </w:pPr>
      <w:r>
        <w:rPr>
          <w:sz w:val="22"/>
          <w:szCs w:val="22"/>
        </w:rPr>
        <w:t xml:space="preserve">5. Resuming the task that caused a needlestick/sharps/splash exposure before first aid is completed, the incident is reported and PEP assessment has begun.</w:t>
      </w:r>
    </w:p>
    <w:p>
      <w:pPr>
        <w:spacing w:after="80"/>
      </w:pPr>
      <w:r>
        <w:rPr>
          <w:sz w:val="22"/>
          <w:szCs w:val="22"/>
        </w:rPr>
        <w:t xml:space="preserve">6. Denying or delaying post-exposure prophylaxis to any staff member who has had a significant exposure.</w:t>
      </w:r>
    </w:p>
    <w:p>
      <w:pPr>
        <w:pStyle w:val="Heading1"/>
        <w:spacing w:after="120" w:before="280"/>
      </w:pPr>
      <w:r>
        <w:t xml:space="preserve">5. What we do</w:t>
      </w:r>
    </w:p>
    <w:p>
      <w:pPr>
        <w:pStyle w:val="Heading2"/>
        <w:spacing w:after="100" w:before="220"/>
      </w:pPr>
      <w:r>
        <w:t xml:space="preserve">5.1 Prevention of catheter-associated urinary tract infection (CAUTI)</w:t>
      </w:r>
    </w:p>
    <w:p>
      <w:pPr>
        <w:spacing w:after="140"/>
      </w:pPr>
      <w:r>
        <w:rPr>
          <w:sz w:val="22"/>
          <w:szCs w:val="22"/>
        </w:rPr>
        <w:t xml:space="preserve">Preview Hospital takes action to prevent CAUTI through an insertion and maintenance bundle:</w:t>
      </w:r>
    </w:p>
    <w:p>
      <w:pPr>
        <w:pStyle w:val="ListParagraph"/>
        <w:numPr>
          <w:ilvl w:val="0"/>
          <w:numId w:val="1"/>
        </w:numPr>
        <w:spacing w:after="60"/>
      </w:pPr>
      <w:r>
        <w:rPr>
          <w:sz w:val="22"/>
          <w:szCs w:val="22"/>
        </w:rPr>
        <w:t xml:space="preserve">Insert urinary catheters only for accepted indications (documented in the clinical record).</w:t>
      </w:r>
    </w:p>
    <w:p>
      <w:pPr>
        <w:pStyle w:val="ListParagraph"/>
        <w:numPr>
          <w:ilvl w:val="0"/>
          <w:numId w:val="1"/>
        </w:numPr>
        <w:spacing w:after="60"/>
      </w:pPr>
      <w:r>
        <w:rPr>
          <w:sz w:val="22"/>
          <w:szCs w:val="22"/>
        </w:rPr>
        <w:t xml:space="preserve">Use aseptic technique for insertion: hand hygiene, sterile gloves, sterile drape, antiseptic peri-urethral cleaning, sterile closed drainage system.</w:t>
      </w:r>
    </w:p>
    <w:p>
      <w:pPr>
        <w:pStyle w:val="ListParagraph"/>
        <w:numPr>
          <w:ilvl w:val="0"/>
          <w:numId w:val="1"/>
        </w:numPr>
        <w:spacing w:after="60"/>
      </w:pPr>
      <w:r>
        <w:rPr>
          <w:sz w:val="22"/>
          <w:szCs w:val="22"/>
        </w:rPr>
        <w:t xml:space="preserve">Secure the catheter to prevent movement and urethral trauma.</w:t>
      </w:r>
    </w:p>
    <w:p>
      <w:pPr>
        <w:pStyle w:val="ListParagraph"/>
        <w:numPr>
          <w:ilvl w:val="0"/>
          <w:numId w:val="1"/>
        </w:numPr>
        <w:spacing w:after="60"/>
      </w:pPr>
      <w:r>
        <w:rPr>
          <w:sz w:val="22"/>
          <w:szCs w:val="22"/>
        </w:rPr>
        <w:t xml:space="preserve">Maintain a closed drainage system; do not disconnect unless clinically necessary.</w:t>
      </w:r>
    </w:p>
    <w:p>
      <w:pPr>
        <w:pStyle w:val="ListParagraph"/>
        <w:numPr>
          <w:ilvl w:val="0"/>
          <w:numId w:val="1"/>
        </w:numPr>
        <w:spacing w:after="60"/>
      </w:pPr>
      <w:r>
        <w:rPr>
          <w:sz w:val="22"/>
          <w:szCs w:val="22"/>
        </w:rPr>
        <w:t xml:space="preserve">Daily reassessment of continued need; remove as soon as indication no longer exists.</w:t>
      </w:r>
    </w:p>
    <w:p>
      <w:pPr>
        <w:pStyle w:val="ListParagraph"/>
        <w:numPr>
          <w:ilvl w:val="0"/>
          <w:numId w:val="1"/>
        </w:numPr>
        <w:spacing w:after="60"/>
      </w:pPr>
      <w:r>
        <w:rPr>
          <w:sz w:val="22"/>
          <w:szCs w:val="22"/>
        </w:rPr>
        <w:t xml:space="preserve">Document insertion date, indication, and daily reassessment in the patient record.</w:t>
      </w:r>
    </w:p>
    <w:p>
      <w:pPr>
        <w:spacing w:after="140"/>
      </w:pPr>
      <w:r>
        <w:rPr>
          <w:sz w:val="22"/>
          <w:szCs w:val="22"/>
        </w:rPr>
        <w:t xml:space="preserve">The Infection Control Nurse monitors CAUTI rates (data from HIC.5) and provides unit-level feedback «monthly».</w:t>
      </w:r>
    </w:p>
    <w:p>
      <w:pPr>
        <w:pStyle w:val="Heading2"/>
        <w:spacing w:after="100" w:before="220"/>
      </w:pPr>
      <w:r>
        <w:t xml:space="preserve">5.2 Prevention of ventilator-associated complication / VAP</w:t>
      </w:r>
    </w:p>
    <w:p>
      <w:pPr>
        <w:spacing w:after="140"/>
      </w:pPr>
      <w:r>
        <w:rPr>
          <w:sz w:val="22"/>
          <w:szCs w:val="22"/>
        </w:rPr>
        <w:t xml:space="preserve">Preview Hospital takes action to prevent infection-related ventilator-associated complication (IVAC) and ventilator-associated pneumonia (VAP) where mechanical ventilation is provided:</w:t>
      </w:r>
    </w:p>
    <w:p>
      <w:pPr>
        <w:pStyle w:val="ListParagraph"/>
        <w:numPr>
          <w:ilvl w:val="0"/>
          <w:numId w:val="1"/>
        </w:numPr>
        <w:spacing w:after="60"/>
      </w:pPr>
      <w:r>
        <w:rPr>
          <w:sz w:val="22"/>
          <w:szCs w:val="22"/>
        </w:rPr>
        <w:t xml:space="preserve">Head-of-bed elevation to «30–45 degrees» unless contraindicated.</w:t>
      </w:r>
    </w:p>
    <w:p>
      <w:pPr>
        <w:pStyle w:val="ListParagraph"/>
        <w:numPr>
          <w:ilvl w:val="0"/>
          <w:numId w:val="1"/>
        </w:numPr>
        <w:spacing w:after="60"/>
      </w:pPr>
      <w:r>
        <w:rPr>
          <w:sz w:val="22"/>
          <w:szCs w:val="22"/>
        </w:rPr>
        <w:t xml:space="preserve">Daily sedation vacation and assessment of readiness to extubate.</w:t>
      </w:r>
    </w:p>
    <w:p>
      <w:pPr>
        <w:pStyle w:val="ListParagraph"/>
        <w:numPr>
          <w:ilvl w:val="0"/>
          <w:numId w:val="1"/>
        </w:numPr>
        <w:spacing w:after="60"/>
      </w:pPr>
      <w:r>
        <w:rPr>
          <w:sz w:val="22"/>
          <w:szCs w:val="22"/>
        </w:rPr>
        <w:t xml:space="preserve">Oral care with «chlorhexidine 0.12 %» per protocol.</w:t>
      </w:r>
    </w:p>
    <w:p>
      <w:pPr>
        <w:pStyle w:val="ListParagraph"/>
        <w:numPr>
          <w:ilvl w:val="0"/>
          <w:numId w:val="1"/>
        </w:numPr>
        <w:spacing w:after="60"/>
      </w:pPr>
      <w:r>
        <w:rPr>
          <w:sz w:val="22"/>
          <w:szCs w:val="22"/>
        </w:rPr>
        <w:t xml:space="preserve">Peptic ulcer prophylaxis per clinical indication.</w:t>
      </w:r>
    </w:p>
    <w:p>
      <w:pPr>
        <w:pStyle w:val="ListParagraph"/>
        <w:numPr>
          <w:ilvl w:val="0"/>
          <w:numId w:val="1"/>
        </w:numPr>
        <w:spacing w:after="60"/>
      </w:pPr>
      <w:r>
        <w:rPr>
          <w:sz w:val="22"/>
          <w:szCs w:val="22"/>
        </w:rPr>
        <w:t xml:space="preserve">Deep vein thrombosis prophylaxis per clinical indication.</w:t>
      </w:r>
    </w:p>
    <w:p>
      <w:pPr>
        <w:pStyle w:val="ListParagraph"/>
        <w:numPr>
          <w:ilvl w:val="0"/>
          <w:numId w:val="1"/>
        </w:numPr>
        <w:spacing w:after="60"/>
      </w:pPr>
      <w:r>
        <w:rPr>
          <w:sz w:val="22"/>
          <w:szCs w:val="22"/>
        </w:rPr>
        <w:t xml:space="preserve">Subglottic secretion drainage where available.</w:t>
      </w:r>
    </w:p>
    <w:p>
      <w:pPr>
        <w:pStyle w:val="ListParagraph"/>
        <w:numPr>
          <w:ilvl w:val="0"/>
          <w:numId w:val="1"/>
        </w:numPr>
        <w:spacing w:after="60"/>
      </w:pPr>
      <w:r>
        <w:rPr>
          <w:sz w:val="22"/>
          <w:szCs w:val="22"/>
        </w:rPr>
        <w:t xml:space="preserve">Hand hygiene before and after contact with ventilator circuit.</w:t>
      </w:r>
    </w:p>
    <w:p>
      <w:pPr>
        <w:spacing w:after="140"/>
      </w:pPr>
      <w:r>
        <w:rPr>
          <w:sz w:val="22"/>
          <w:szCs w:val="22"/>
        </w:rPr>
        <w:t xml:space="preserve">Where Preview Hospital does not provide mechanical ventilation, this is a recorded absence against the service directory, not a copied SOP.</w:t>
      </w:r>
    </w:p>
    <w:p>
      <w:pPr>
        <w:pStyle w:val="Heading2"/>
        <w:spacing w:after="100" w:before="220"/>
      </w:pPr>
      <w:r>
        <w:t xml:space="preserve">5.3 Prevention of catheter-linked blood stream infection (CLABSI)</w:t>
      </w:r>
    </w:p>
    <w:p>
      <w:pPr>
        <w:spacing w:after="140"/>
      </w:pPr>
      <w:r>
        <w:rPr>
          <w:sz w:val="22"/>
          <w:szCs w:val="22"/>
        </w:rPr>
        <w:t xml:space="preserve">Preview Hospital takes action to prevent CLABSI through a central-line insertion and maintenance bundle:</w:t>
      </w:r>
    </w:p>
    <w:p>
      <w:pPr>
        <w:pStyle w:val="ListParagraph"/>
        <w:numPr>
          <w:ilvl w:val="0"/>
          <w:numId w:val="1"/>
        </w:numPr>
        <w:spacing w:after="60"/>
      </w:pPr>
      <w:r>
        <w:rPr>
          <w:sz w:val="22"/>
          <w:szCs w:val="22"/>
        </w:rPr>
        <w:t xml:space="preserve">Hand hygiene and maximal sterile barrier precautions for insertion.</w:t>
      </w:r>
    </w:p>
    <w:p>
      <w:pPr>
        <w:pStyle w:val="ListParagraph"/>
        <w:numPr>
          <w:ilvl w:val="0"/>
          <w:numId w:val="1"/>
        </w:numPr>
        <w:spacing w:after="60"/>
      </w:pPr>
      <w:r>
        <w:rPr>
          <w:sz w:val="22"/>
          <w:szCs w:val="22"/>
        </w:rPr>
        <w:t xml:space="preserve">Chlorhexidine-based skin antisepsis at the insertion site.</w:t>
      </w:r>
    </w:p>
    <w:p>
      <w:pPr>
        <w:pStyle w:val="ListParagraph"/>
        <w:numPr>
          <w:ilvl w:val="0"/>
          <w:numId w:val="1"/>
        </w:numPr>
        <w:spacing w:after="60"/>
      </w:pPr>
      <w:r>
        <w:rPr>
          <w:sz w:val="22"/>
          <w:szCs w:val="22"/>
        </w:rPr>
        <w:t xml:space="preserve">Optimal catheter site selection (subclavian preferred where clinically appropriate; avoid femoral where possible).</w:t>
      </w:r>
    </w:p>
    <w:p>
      <w:pPr>
        <w:pStyle w:val="ListParagraph"/>
        <w:numPr>
          <w:ilvl w:val="0"/>
          <w:numId w:val="1"/>
        </w:numPr>
        <w:spacing w:after="60"/>
      </w:pPr>
      <w:r>
        <w:rPr>
          <w:sz w:val="22"/>
          <w:szCs w:val="22"/>
        </w:rPr>
        <w:t xml:space="preserve">Daily review of line necessity; remove as soon as no longer required.</w:t>
      </w:r>
    </w:p>
    <w:p>
      <w:pPr>
        <w:pStyle w:val="ListParagraph"/>
        <w:numPr>
          <w:ilvl w:val="0"/>
          <w:numId w:val="1"/>
        </w:numPr>
        <w:spacing w:after="60"/>
      </w:pPr>
      <w:r>
        <w:rPr>
          <w:sz w:val="22"/>
          <w:szCs w:val="22"/>
        </w:rPr>
        <w:t xml:space="preserve">Standardised dressing changes using aseptic technique.</w:t>
      </w:r>
    </w:p>
    <w:p>
      <w:pPr>
        <w:pStyle w:val="ListParagraph"/>
        <w:numPr>
          <w:ilvl w:val="0"/>
          <w:numId w:val="1"/>
        </w:numPr>
        <w:spacing w:after="60"/>
      </w:pPr>
      <w:r>
        <w:rPr>
          <w:sz w:val="22"/>
          <w:szCs w:val="22"/>
        </w:rPr>
        <w:t xml:space="preserve">Hub/port scrub before every access.</w:t>
      </w:r>
    </w:p>
    <w:p>
      <w:pPr>
        <w:spacing w:after="140"/>
      </w:pPr>
      <w:r>
        <w:rPr>
          <w:sz w:val="22"/>
          <w:szCs w:val="22"/>
        </w:rPr>
        <w:t xml:space="preserve">Where Preview Hospital does not insert central lines, this is a recorded absence against the service directory. Peripheral IV care follows aseptic insertion and maintenance bundles (HIC.2.d).</w:t>
      </w:r>
    </w:p>
    <w:p>
      <w:pPr>
        <w:pStyle w:val="Heading2"/>
        <w:spacing w:after="100" w:before="220"/>
      </w:pPr>
      <w:r>
        <w:t xml:space="preserve">5.4 Prevention of surgical site infection (SSI)</w:t>
      </w:r>
    </w:p>
    <w:p>
      <w:pPr>
        <w:spacing w:after="140"/>
      </w:pPr>
      <w:r>
        <w:rPr>
          <w:sz w:val="22"/>
          <w:szCs w:val="22"/>
        </w:rPr>
        <w:t xml:space="preserve">Preview Hospital takes action to prevent SSI through pre-operative, intra-operative and post-operative measures:</w:t>
      </w:r>
    </w:p>
    <w:p>
      <w:pPr>
        <w:pStyle w:val="ListParagraph"/>
        <w:numPr>
          <w:ilvl w:val="0"/>
          <w:numId w:val="1"/>
        </w:numPr>
        <w:spacing w:after="60"/>
      </w:pPr>
      <w:r>
        <w:rPr>
          <w:sz w:val="22"/>
          <w:szCs w:val="22"/>
        </w:rPr>
        <w:t xml:space="preserve">Pre-operative:</w:t>
      </w:r>
    </w:p>
    <w:p>
      <w:pPr>
        <w:pStyle w:val="ListParagraph"/>
        <w:numPr>
          <w:ilvl w:val="0"/>
          <w:numId w:val="1"/>
        </w:numPr>
        <w:spacing w:after="60"/>
      </w:pPr>
      <w:r>
        <w:rPr>
          <w:sz w:val="22"/>
          <w:szCs w:val="22"/>
        </w:rPr>
        <w:t xml:space="preserve">Appropriate antibiotic prophylaxis administered within «60 minutes» before incision (per antimicrobial policy HIC.2.e).</w:t>
      </w:r>
    </w:p>
    <w:p>
      <w:pPr>
        <w:pStyle w:val="ListParagraph"/>
        <w:numPr>
          <w:ilvl w:val="0"/>
          <w:numId w:val="1"/>
        </w:numPr>
        <w:spacing w:after="60"/>
      </w:pPr>
      <w:r>
        <w:rPr>
          <w:sz w:val="22"/>
          <w:szCs w:val="22"/>
        </w:rPr>
        <w:t xml:space="preserve">Surgical-site skin preparation with «chlorhexidine-alcohol or povidone-iodine».</w:t>
      </w:r>
    </w:p>
    <w:p>
      <w:pPr>
        <w:pStyle w:val="ListParagraph"/>
        <w:numPr>
          <w:ilvl w:val="0"/>
          <w:numId w:val="1"/>
        </w:numPr>
        <w:spacing w:after="60"/>
      </w:pPr>
      <w:r>
        <w:rPr>
          <w:sz w:val="22"/>
          <w:szCs w:val="22"/>
        </w:rPr>
        <w:t xml:space="preserve">Patient bathing/showering before surgery where feasible.</w:t>
      </w:r>
    </w:p>
    <w:p>
      <w:pPr>
        <w:pStyle w:val="ListParagraph"/>
        <w:numPr>
          <w:ilvl w:val="0"/>
          <w:numId w:val="1"/>
        </w:numPr>
        <w:spacing w:after="60"/>
      </w:pPr>
      <w:r>
        <w:rPr>
          <w:sz w:val="22"/>
          <w:szCs w:val="22"/>
        </w:rPr>
        <w:t xml:space="preserve">Avoid routine hair removal; if required, use clippers (not razors).</w:t>
      </w:r>
    </w:p>
    <w:p>
      <w:pPr>
        <w:pStyle w:val="ListParagraph"/>
        <w:numPr>
          <w:ilvl w:val="0"/>
          <w:numId w:val="1"/>
        </w:numPr>
        <w:spacing w:after="60"/>
      </w:pPr>
      <w:r>
        <w:rPr>
          <w:sz w:val="22"/>
          <w:szCs w:val="22"/>
        </w:rPr>
        <w:t xml:space="preserve">Intra-operative:</w:t>
      </w:r>
    </w:p>
    <w:p>
      <w:pPr>
        <w:pStyle w:val="ListParagraph"/>
        <w:numPr>
          <w:ilvl w:val="0"/>
          <w:numId w:val="1"/>
        </w:numPr>
        <w:spacing w:after="60"/>
      </w:pPr>
      <w:r>
        <w:rPr>
          <w:sz w:val="22"/>
          <w:szCs w:val="22"/>
        </w:rPr>
        <w:t xml:space="preserve">Maintain normothermia (core temperature ≥ 36 °C).</w:t>
      </w:r>
    </w:p>
    <w:p>
      <w:pPr>
        <w:pStyle w:val="ListParagraph"/>
        <w:numPr>
          <w:ilvl w:val="0"/>
          <w:numId w:val="1"/>
        </w:numPr>
        <w:spacing w:after="60"/>
      </w:pPr>
      <w:r>
        <w:rPr>
          <w:sz w:val="22"/>
          <w:szCs w:val="22"/>
        </w:rPr>
        <w:t xml:space="preserve">Glycaemic control in diabetic patients.</w:t>
      </w:r>
    </w:p>
    <w:p>
      <w:pPr>
        <w:pStyle w:val="ListParagraph"/>
        <w:numPr>
          <w:ilvl w:val="0"/>
          <w:numId w:val="1"/>
        </w:numPr>
        <w:spacing w:after="60"/>
      </w:pPr>
      <w:r>
        <w:rPr>
          <w:sz w:val="22"/>
          <w:szCs w:val="22"/>
        </w:rPr>
        <w:t xml:space="preserve">Sterile technique throughout; instrument sterility per HIC.6.</w:t>
      </w:r>
    </w:p>
    <w:p>
      <w:pPr>
        <w:pStyle w:val="ListParagraph"/>
        <w:numPr>
          <w:ilvl w:val="0"/>
          <w:numId w:val="1"/>
        </w:numPr>
        <w:spacing w:after="60"/>
      </w:pPr>
      <w:r>
        <w:rPr>
          <w:sz w:val="22"/>
          <w:szCs w:val="22"/>
        </w:rPr>
        <w:t xml:space="preserve">Post-operative:</w:t>
      </w:r>
    </w:p>
    <w:p>
      <w:pPr>
        <w:pStyle w:val="ListParagraph"/>
        <w:numPr>
          <w:ilvl w:val="0"/>
          <w:numId w:val="1"/>
        </w:numPr>
        <w:spacing w:after="60"/>
      </w:pPr>
      <w:r>
        <w:rPr>
          <w:sz w:val="22"/>
          <w:szCs w:val="22"/>
        </w:rPr>
        <w:t xml:space="preserve">Sterile wound dressing change with hand hygiene and aseptic non-touch technique.</w:t>
      </w:r>
    </w:p>
    <w:p>
      <w:pPr>
        <w:pStyle w:val="ListParagraph"/>
        <w:numPr>
          <w:ilvl w:val="0"/>
          <w:numId w:val="1"/>
        </w:numPr>
        <w:spacing w:after="60"/>
      </w:pPr>
      <w:r>
        <w:rPr>
          <w:sz w:val="22"/>
          <w:szCs w:val="22"/>
        </w:rPr>
        <w:t xml:space="preserve">Surveillance for SSI up to «30 days» (or «90 days» for implant surgery).</w:t>
      </w:r>
    </w:p>
    <w:p>
      <w:pPr>
        <w:pStyle w:val="ListParagraph"/>
        <w:numPr>
          <w:ilvl w:val="0"/>
          <w:numId w:val="1"/>
        </w:numPr>
        <w:spacing w:after="60"/>
      </w:pPr>
      <w:r>
        <w:rPr>
          <w:sz w:val="22"/>
          <w:szCs w:val="22"/>
        </w:rPr>
        <w:t xml:space="preserve">SSI rates reported to the Infection Control Committee.</w:t>
      </w:r>
    </w:p>
    <w:p>
      <w:pPr>
        <w:pStyle w:val="Heading2"/>
        <w:spacing w:after="100" w:before="220"/>
      </w:pPr>
      <w:r>
        <w:t xml:space="preserve">5.5 Occupational health and safety — reducing transmission among healthcare providers</w:t>
      </w:r>
    </w:p>
    <w:p>
      <w:pPr>
        <w:spacing w:after="140"/>
      </w:pPr>
      <w:r>
        <w:rPr>
          <w:sz w:val="22"/>
          <w:szCs w:val="22"/>
        </w:rPr>
        <w:t xml:space="preserve">Preview Hospital implements occupational health and safety practices to reduce the risk of transmitting microorganisms among healthcare providers:</w:t>
      </w:r>
    </w:p>
    <w:p>
      <w:pPr>
        <w:pStyle w:val="ListParagraph"/>
        <w:numPr>
          <w:ilvl w:val="0"/>
          <w:numId w:val="1"/>
        </w:numPr>
        <w:spacing w:after="60"/>
      </w:pPr>
      <w:r>
        <w:rPr>
          <w:sz w:val="22"/>
          <w:szCs w:val="22"/>
        </w:rPr>
        <w:t xml:space="preserve">Standard precautions and PPE use as per HIC.2.a.</w:t>
      </w:r>
    </w:p>
    <w:p>
      <w:pPr>
        <w:pStyle w:val="ListParagraph"/>
        <w:numPr>
          <w:ilvl w:val="0"/>
          <w:numId w:val="1"/>
        </w:numPr>
        <w:spacing w:after="60"/>
      </w:pPr>
      <w:r>
        <w:rPr>
          <w:sz w:val="22"/>
          <w:szCs w:val="22"/>
        </w:rPr>
        <w:t xml:space="preserve">Immunisation of staff: hepatitis B vaccination (and titre confirmation), annual influenza vaccination (where available), and any outbreak-specific vaccination.</w:t>
      </w:r>
    </w:p>
    <w:p>
      <w:pPr>
        <w:pStyle w:val="ListParagraph"/>
        <w:numPr>
          <w:ilvl w:val="0"/>
          <w:numId w:val="1"/>
        </w:numPr>
        <w:spacing w:after="60"/>
      </w:pPr>
      <w:r>
        <w:rPr>
          <w:sz w:val="22"/>
          <w:szCs w:val="22"/>
        </w:rPr>
        <w:t xml:space="preserve">Sharps safety: needle-free systems where feasible, safety-engineered devices, no manual recapping.</w:t>
      </w:r>
    </w:p>
    <w:p>
      <w:pPr>
        <w:pStyle w:val="ListParagraph"/>
        <w:numPr>
          <w:ilvl w:val="0"/>
          <w:numId w:val="1"/>
        </w:numPr>
        <w:spacing w:after="60"/>
      </w:pPr>
      <w:r>
        <w:rPr>
          <w:sz w:val="22"/>
          <w:szCs w:val="22"/>
        </w:rPr>
        <w:t xml:space="preserve">Fit-testing for N95 respirators for staff in airborne-precaution areas.</w:t>
      </w:r>
    </w:p>
    <w:p>
      <w:pPr>
        <w:pStyle w:val="ListParagraph"/>
        <w:numPr>
          <w:ilvl w:val="0"/>
          <w:numId w:val="1"/>
        </w:numPr>
        <w:spacing w:after="60"/>
      </w:pPr>
      <w:r>
        <w:rPr>
          <w:sz w:val="22"/>
          <w:szCs w:val="22"/>
        </w:rPr>
        <w:t xml:space="preserve">Staff with transmissible infections (active TB, chickenpox, measles, conjunctivitis) are restricted from patient contact per written guidance.</w:t>
      </w:r>
    </w:p>
    <w:p>
      <w:pPr>
        <w:spacing w:after="140"/>
      </w:pPr>
      <w:r>
        <w:rPr>
          <w:sz w:val="22"/>
          <w:szCs w:val="22"/>
        </w:rPr>
        <w:t xml:space="preserve">A sharps injury or significant mucocutaneous exposure triggers the stop-work authority in section 6.</w:t>
      </w:r>
    </w:p>
    <w:p>
      <w:pPr>
        <w:pStyle w:val="Heading2"/>
        <w:spacing w:after="100" w:before="220"/>
      </w:pPr>
      <w:r>
        <w:t xml:space="preserve">5.6 Post-exposure prophylaxis (PEP)</w:t>
      </w:r>
    </w:p>
    <w:p>
      <w:pPr>
        <w:spacing w:after="140"/>
      </w:pPr>
      <w:r>
        <w:rPr>
          <w:sz w:val="22"/>
          <w:szCs w:val="22"/>
        </w:rPr>
        <w:t xml:space="preserve">Appropriate post-exposure prophylaxis is provided to all staff members concerned after a significant exposure (needlestick, sharps injury, splash to mucous membrane or non-intact skin from blood or body fluid of a source patient):</w:t>
      </w:r>
    </w:p>
    <w:p>
      <w:pPr>
        <w:pStyle w:val="ListParagraph"/>
        <w:numPr>
          <w:ilvl w:val="0"/>
          <w:numId w:val="1"/>
        </w:numPr>
        <w:spacing w:after="60"/>
      </w:pPr>
      <w:r>
        <w:rPr>
          <w:sz w:val="22"/>
          <w:szCs w:val="22"/>
        </w:rPr>
        <w:t xml:space="preserve">Immediate first aid: wash the wound with soap and water (do not squeeze); flush mucous membrane with water.</w:t>
      </w:r>
    </w:p>
    <w:p>
      <w:pPr>
        <w:pStyle w:val="ListParagraph"/>
        <w:numPr>
          <w:ilvl w:val="0"/>
          <w:numId w:val="1"/>
        </w:numPr>
        <w:spacing w:after="60"/>
      </w:pPr>
      <w:r>
        <w:rPr>
          <w:sz w:val="22"/>
          <w:szCs w:val="22"/>
        </w:rPr>
        <w:t xml:space="preserve">Report the incident to the «Infection Control Officer or the duty medical officer» within «1 hour».</w:t>
      </w:r>
    </w:p>
    <w:p>
      <w:pPr>
        <w:pStyle w:val="ListParagraph"/>
        <w:numPr>
          <w:ilvl w:val="0"/>
          <w:numId w:val="1"/>
        </w:numPr>
        <w:spacing w:after="60"/>
      </w:pPr>
      <w:r>
        <w:rPr>
          <w:sz w:val="22"/>
          <w:szCs w:val="22"/>
        </w:rPr>
        <w:t xml:space="preserve">Risk assessment: source-patient status (HIV, HBV, HCV), nature of exposure, staff vaccination status.</w:t>
      </w:r>
    </w:p>
    <w:p>
      <w:pPr>
        <w:pStyle w:val="ListParagraph"/>
        <w:numPr>
          <w:ilvl w:val="0"/>
          <w:numId w:val="1"/>
        </w:numPr>
        <w:spacing w:after="60"/>
      </w:pPr>
      <w:r>
        <w:rPr>
          <w:sz w:val="22"/>
          <w:szCs w:val="22"/>
        </w:rPr>
        <w:t xml:space="preserve">PEP initiation: HIV PEP within «2 hours» (and no later than 72 hours); HBV immunoglobulin/booster as indicated.</w:t>
      </w:r>
    </w:p>
    <w:p>
      <w:pPr>
        <w:pStyle w:val="ListParagraph"/>
        <w:numPr>
          <w:ilvl w:val="0"/>
          <w:numId w:val="1"/>
        </w:numPr>
        <w:spacing w:after="60"/>
      </w:pPr>
      <w:r>
        <w:rPr>
          <w:sz w:val="22"/>
          <w:szCs w:val="22"/>
        </w:rPr>
        <w:t xml:space="preserve">Counselling, baseline blood draw and follow-up testing at «6 weeks, 3 months and 6 months».</w:t>
      </w:r>
    </w:p>
    <w:p>
      <w:pPr>
        <w:pStyle w:val="ListParagraph"/>
        <w:numPr>
          <w:ilvl w:val="0"/>
          <w:numId w:val="1"/>
        </w:numPr>
        <w:spacing w:after="60"/>
      </w:pPr>
      <w:r>
        <w:rPr>
          <w:sz w:val="22"/>
          <w:szCs w:val="22"/>
        </w:rPr>
        <w:t xml:space="preserve">Confidential documentation in the staff occupational health record.</w:t>
      </w:r>
    </w:p>
    <w:p>
      <w:pPr>
        <w:spacing w:after="140"/>
      </w:pPr>
      <w:r>
        <w:rPr>
          <w:sz w:val="22"/>
          <w:szCs w:val="22"/>
        </w:rPr>
        <w:t xml:space="preserve">PEP medications are available «24 hours a day, 7 days a week» — stocked in the «emergency pharmacy or the emergency department».</w:t>
      </w:r>
    </w:p>
    <w:p>
      <w:pPr>
        <w:pStyle w:val="Heading1"/>
        <w:spacing w:after="120" w:before="280"/>
      </w:pPr>
      <w:r>
        <w:t xml:space="preserve">6. Stop-work authority</w:t>
      </w:r>
    </w:p>
    <w:p>
      <w:pPr>
        <w:spacing w:after="140"/>
      </w:pPr>
      <w:r>
        <w:rPr>
          <w:sz w:val="22"/>
          <w:szCs w:val="22"/>
        </w:rPr>
        <w:t xml:space="preserve">Any staff member who sustains a needlestick injury, sharps injury or significant splash exposure to blood or body fluid must STOP the task immediately.</w:t>
      </w:r>
    </w:p>
    <w:p>
      <w:pPr>
        <w:spacing w:after="140"/>
      </w:pPr>
      <w:r>
        <w:rPr>
          <w:sz w:val="22"/>
          <w:szCs w:val="22"/>
        </w:rPr>
        <w:t xml:space="preserve">Do not resume the task until:
1. First aid has been completed (wash with soap and water; flush mucous membrane).
2. The incident has been reported to the «Infection Control Officer or duty medical officer».
3. PEP assessment has begun (risk assessment and decision on prophylaxis).</w:t>
      </w:r>
    </w:p>
    <w:p>
      <w:pPr>
        <w:spacing w:after="140"/>
      </w:pPr>
      <w:r>
        <w:rPr>
          <w:sz w:val="22"/>
          <w:szCs w:val="22"/>
        </w:rPr>
        <w:t xml:space="preserve">The exposed staff member's patient care responsibility is handed over to another qualified person for the duration of first aid and reporting. No disciplinary action follows from invoking stop-work for a genuine exposure.</w:t>
      </w:r>
    </w:p>
    <w:p>
      <w:pPr>
        <w:spacing w:after="140"/>
      </w:pPr>
      <w:r>
        <w:rPr>
          <w:sz w:val="22"/>
          <w:szCs w:val="22"/>
        </w:rPr>
        <w:t xml:space="preserve">The Infection Control Officer may also invoke stop-work authority if a pattern of sharps injuries in a unit indicates an unsafe device or procedure that requires immediate investigation before further use.</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for device-bundle implementation, PEP availability and occupational health resources.</w:t>
      </w:r>
    </w:p>
    <w:p>
      <w:pPr>
        <w:pStyle w:val="ListParagraph"/>
        <w:numPr>
          <w:ilvl w:val="0"/>
          <w:numId w:val="1"/>
        </w:numPr>
        <w:spacing w:after="60"/>
      </w:pPr>
      <w:r>
        <w:rPr>
          <w:sz w:val="22"/>
          <w:szCs w:val="22"/>
        </w:rPr>
        <w:t xml:space="preserve">Infection Control Officer</w:t>
      </w:r>
    </w:p>
    <w:p>
      <w:pPr>
        <w:pStyle w:val="ListParagraph"/>
        <w:numPr>
          <w:ilvl w:val="0"/>
          <w:numId w:val="1"/>
        </w:numPr>
        <w:spacing w:after="60"/>
      </w:pPr>
      <w:r>
        <w:rPr>
          <w:sz w:val="22"/>
          <w:szCs w:val="22"/>
        </w:rPr>
        <w:t xml:space="preserve">Oversees bundle compliance, PEP protocol, and occupational exposure investigations.</w:t>
      </w:r>
    </w:p>
    <w:p>
      <w:pPr>
        <w:pStyle w:val="ListParagraph"/>
        <w:numPr>
          <w:ilvl w:val="0"/>
          <w:numId w:val="1"/>
        </w:numPr>
        <w:spacing w:after="60"/>
      </w:pPr>
      <w:r>
        <w:rPr>
          <w:sz w:val="22"/>
          <w:szCs w:val="22"/>
        </w:rPr>
        <w:t xml:space="preserve">Infection Control Nurse</w:t>
      </w:r>
    </w:p>
    <w:p>
      <w:pPr>
        <w:pStyle w:val="ListParagraph"/>
        <w:numPr>
          <w:ilvl w:val="0"/>
          <w:numId w:val="1"/>
        </w:numPr>
        <w:spacing w:after="60"/>
      </w:pPr>
      <w:r>
        <w:rPr>
          <w:sz w:val="22"/>
          <w:szCs w:val="22"/>
        </w:rPr>
        <w:t xml:space="preserve">Monitors bundle compliance, device-day data, and provides unit-level feedback.</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Insert and maintain devices per bundles; prescribe prophylaxis per policy; report exposures.</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Maintain devices per bundles; perform daily reassessment; administer PEP; report exposures.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tracks CAPA closure.</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CAUTI bundle compliance and catheter-day rates.</w:t>
      </w:r>
    </w:p>
    <w:p>
      <w:pPr>
        <w:pStyle w:val="ListParagraph"/>
        <w:numPr>
          <w:ilvl w:val="0"/>
          <w:numId w:val="1"/>
        </w:numPr>
        <w:spacing w:after="60"/>
      </w:pPr>
      <w:r>
        <w:rPr>
          <w:sz w:val="22"/>
          <w:szCs w:val="22"/>
        </w:rPr>
        <w:t xml:space="preserve">VAP bundle compliance and ventilator-day rates (where applicable).</w:t>
      </w:r>
    </w:p>
    <w:p>
      <w:pPr>
        <w:pStyle w:val="ListParagraph"/>
        <w:numPr>
          <w:ilvl w:val="0"/>
          <w:numId w:val="1"/>
        </w:numPr>
        <w:spacing w:after="60"/>
      </w:pPr>
      <w:r>
        <w:rPr>
          <w:sz w:val="22"/>
          <w:szCs w:val="22"/>
        </w:rPr>
        <w:t xml:space="preserve">CLABSI bundle compliance and line-day rates (where applicable).</w:t>
      </w:r>
    </w:p>
    <w:p>
      <w:pPr>
        <w:pStyle w:val="ListParagraph"/>
        <w:numPr>
          <w:ilvl w:val="0"/>
          <w:numId w:val="1"/>
        </w:numPr>
        <w:spacing w:after="60"/>
      </w:pPr>
      <w:r>
        <w:rPr>
          <w:sz w:val="22"/>
          <w:szCs w:val="22"/>
        </w:rPr>
        <w:t xml:space="preserve">SSI rates by procedure category.</w:t>
      </w:r>
    </w:p>
    <w:p>
      <w:pPr>
        <w:pStyle w:val="ListParagraph"/>
        <w:numPr>
          <w:ilvl w:val="0"/>
          <w:numId w:val="1"/>
        </w:numPr>
        <w:spacing w:after="60"/>
      </w:pPr>
      <w:r>
        <w:rPr>
          <w:sz w:val="22"/>
          <w:szCs w:val="22"/>
        </w:rPr>
        <w:t xml:space="preserve">Occupational exposure reports and PEP timeliness.</w:t>
      </w:r>
    </w:p>
    <w:p>
      <w:pPr>
        <w:pStyle w:val="ListParagraph"/>
        <w:numPr>
          <w:ilvl w:val="0"/>
          <w:numId w:val="1"/>
        </w:numPr>
        <w:spacing w:after="60"/>
      </w:pPr>
      <w:r>
        <w:rPr>
          <w:sz w:val="22"/>
          <w:szCs w:val="22"/>
        </w:rPr>
        <w:t xml:space="preserve">Stop-work invocations and their outcomes.</w:t>
      </w:r>
    </w:p>
    <w:p>
      <w:pPr>
        <w:spacing w:after="140"/>
      </w:pPr>
      <w:r>
        <w:rPr>
          <w:sz w:val="22"/>
          <w:szCs w:val="22"/>
        </w:rPr>
        <w:t xml:space="preserve">Root-cause analysis is required when a device-associated infection rate exceeds the «national benchmark» for two consecutive quarters, or when PEP was delayed beyond 2 hours.</w:t>
      </w:r>
    </w:p>
    <w:p>
      <w:pPr>
        <w:spacing w:after="140"/>
      </w:pPr>
      <w:r>
        <w:rPr>
          <w:sz w:val="22"/>
          <w:szCs w:val="22"/>
        </w:rPr>
        <w:t xml:space="preserve">This policy is reviewed «annually», and sooner when bundle evidence is updated or after a cluster of device-associated infections.</w:t>
      </w:r>
    </w:p>
    <w:p>
      <w:pPr>
        <w:pStyle w:val="Heading1"/>
        <w:spacing w:after="120" w:before="280"/>
      </w:pPr>
      <w:r>
        <w:t xml:space="preserve">9. Training and staff acknowledgement</w:t>
      </w:r>
    </w:p>
    <w:p>
      <w:pPr>
        <w:spacing w:after="140"/>
      </w:pPr>
      <w:r>
        <w:rPr>
          <w:sz w:val="22"/>
          <w:szCs w:val="22"/>
        </w:rPr>
        <w:t xml:space="preserve">All clinical staff are trained on this policy at induction and «once a year» after that. Training covers insertion and maintenance bundles, sharps safety, exposure reporting, PEP access and the stop-work authority.</w:t>
      </w:r>
    </w:p>
    <w:p>
      <w:pPr>
        <w:spacing w:after="140"/>
      </w:pPr>
      <w:r>
        <w:rPr>
          <w:sz w:val="22"/>
          <w:szCs w:val="22"/>
        </w:rPr>
        <w:t xml:space="preserve">Staff acknowledgement</w:t>
      </w:r>
    </w:p>
    <w:p>
      <w:pPr>
        <w:spacing w:after="140"/>
      </w:pPr>
      <w:r>
        <w:rPr>
          <w:sz w:val="22"/>
          <w:szCs w:val="22"/>
        </w:rPr>
        <w:t xml:space="preserve">I have read this Prevention of HAI in Patients and Staff policy of Preview Hospital. I understand the device bundles, the stop-work authority for sharps exposure, and how to access PEP.</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Infection Control Officer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HIC chapter, standard HIC.4.</w:t>
      </w:r>
    </w:p>
    <w:p>
      <w:pPr>
        <w:pStyle w:val="ListParagraph"/>
        <w:numPr>
          <w:ilvl w:val="0"/>
          <w:numId w:val="1"/>
        </w:numPr>
        <w:spacing w:after="60"/>
      </w:pPr>
      <w:r>
        <w:rPr>
          <w:sz w:val="22"/>
          <w:szCs w:val="22"/>
        </w:rPr>
        <w:t xml:space="preserve">CDC/HICPAC Guidelines for Prevention of Catheter-Associated Urinary Tract Infections (2009, updated 2017).</w:t>
      </w:r>
    </w:p>
    <w:p>
      <w:pPr>
        <w:pStyle w:val="ListParagraph"/>
        <w:numPr>
          <w:ilvl w:val="0"/>
          <w:numId w:val="1"/>
        </w:numPr>
        <w:spacing w:after="60"/>
      </w:pPr>
      <w:r>
        <w:rPr>
          <w:sz w:val="22"/>
          <w:szCs w:val="22"/>
        </w:rPr>
        <w:t xml:space="preserve">CDC Guidelines for Prevention of Intravascular Catheter-Related Infections (2011).</w:t>
      </w:r>
    </w:p>
    <w:p>
      <w:pPr>
        <w:pStyle w:val="ListParagraph"/>
        <w:numPr>
          <w:ilvl w:val="0"/>
          <w:numId w:val="1"/>
        </w:numPr>
        <w:spacing w:after="60"/>
      </w:pPr>
      <w:r>
        <w:rPr>
          <w:sz w:val="22"/>
          <w:szCs w:val="22"/>
        </w:rPr>
        <w:t xml:space="preserve">WHO Global Guidelines for the Prevention of Surgical Site Infection (2018).</w:t>
      </w:r>
    </w:p>
    <w:p>
      <w:pPr>
        <w:pStyle w:val="ListParagraph"/>
        <w:numPr>
          <w:ilvl w:val="0"/>
          <w:numId w:val="1"/>
        </w:numPr>
        <w:spacing w:after="60"/>
      </w:pPr>
      <w:r>
        <w:rPr>
          <w:sz w:val="22"/>
          <w:szCs w:val="22"/>
        </w:rPr>
        <w:t xml:space="preserve">NACO Guidelines on Post-Exposure Prophylaxis (updated 2018).</w:t>
      </w:r>
    </w:p>
    <w:p>
      <w:pPr>
        <w:pStyle w:val="ListParagraph"/>
        <w:numPr>
          <w:ilvl w:val="0"/>
          <w:numId w:val="1"/>
        </w:numPr>
        <w:spacing w:after="60"/>
      </w:pPr>
      <w:r>
        <w:rPr>
          <w:sz w:val="22"/>
          <w:szCs w:val="22"/>
        </w:rPr>
        <w:t xml:space="preserve">Internal documents of Preview Hospital: CAUTI bundle protocol, CLABSI bundle, SSI bundle, VAP bundle (where applicable), PEP protocol, sharps injury register.</w:t>
      </w:r>
    </w:p>
    <w:p>
      <w:pPr>
        <w:pStyle w:val="Heading1"/>
        <w:spacing w:after="120" w:before="280"/>
      </w:pPr>
      <w:r>
        <w:t xml:space="preserve">11. Distribution</w:t>
      </w:r>
    </w:p>
    <w:p>
      <w:pPr>
        <w:spacing w:after="140"/>
      </w:pPr>
      <w:r>
        <w:rPr>
          <w:sz w:val="22"/>
          <w:szCs w:val="22"/>
        </w:rPr>
        <w:t xml:space="preserve">Official master copy: office of the Medical Superintendent, Preview Hospital, with the Infection Control Officer and the Quality Coordinator.</w:t>
      </w:r>
    </w:p>
    <w:p>
      <w:pPr>
        <w:spacing w:after="140"/>
      </w:pPr>
      <w:r>
        <w:rPr>
          <w:sz w:val="22"/>
          <w:szCs w:val="22"/>
        </w:rPr>
        <w:t xml:space="preserve">Copies issued to: all clinical areas (OPD, IPD, emergency, OT, ICU where available), CSSD, nursing administration, pharmacy (PEP stock).</w:t>
      </w:r>
    </w:p>
    <w:p>
      <w:pPr>
        <w:spacing w:after="140"/>
      </w:pPr>
      <w:r>
        <w:rPr>
          <w:sz w:val="22"/>
          <w:szCs w:val="22"/>
        </w:rPr>
        <w:t xml:space="preserve">The current version is available to all staff at the «infection control manual / staff intranet».</w:t>
      </w:r>
    </w:p>
    <w:p>
      <w:pPr>
        <w:spacing w:after="140"/>
      </w:pPr>
      <w:r>
        <w:rPr>
          <w:sz w:val="22"/>
          <w:szCs w:val="22"/>
        </w:rPr>
        <w:t xml:space="preserve">When a new version is issued, take old copies out of use.</w:t>
      </w:r>
    </w:p>
    <w:p>
      <w:pPr>
        <w:pStyle w:val="Heading1"/>
        <w:spacing w:after="120" w:before="280"/>
      </w:pPr>
      <w:r>
        <w:t xml:space="preserve">12. Abbreviations</w:t>
      </w:r>
    </w:p>
    <w:p>
      <w:pPr>
        <w:spacing w:after="140"/>
      </w:pPr>
      <w:r>
        <w:rPr>
          <w:sz w:val="22"/>
          <w:szCs w:val="22"/>
        </w:rPr>
        <w:t xml:space="preserve">CAUTI — catheter-associated urinary tract infection
CAPA — corrective and preventive action
CLABSI — central-line-associated blood stream infection
HAI — healthcare-associated infection
HBV — hepatitis B virus
HCV — hepatitis C virus
HIC — Hospital Infection Prevention and Control (NABH SHCO chapter)
HIV — human immunodeficiency virus
HRM — Human Resource Management (NABH SHCO chapter; not yet built)
IVAC — infection-related ventilator-associated complication
NABH — National Accreditation Board for Hospitals and Healthcare Providers
NACO — National AIDS Control Organisation
OE — objective element
PEP — post-exposure prophylaxis
PPE — personal protective equipment
SHCO — Standards for Small Healthcare Organisations
SSI — surgical site infection
VAP — ventilator-associated pneumonia
WHO — World Health Organization</w:t>
      </w:r>
    </w:p>
    <w:p>
      <w:pPr>
        <w:pStyle w:val="Heading1"/>
        <w:spacing w:after="120" w:before="280"/>
      </w:pPr>
      <w:r>
        <w:t xml:space="preserve">13. Traceability to NABH SHCO 3rd Edition HIC.4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takes action to prevent catheter-associated urinary tract infections.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Prevention of CAUTI</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and nurses (bundle compliance); Infection Control Nurse (monitor rates)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takes action to prevent infection-related ventilator associated complication/ventilator-associated pneumonia.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Prevention of ventilator-associated complication / VAP</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ICU doctors and nurses (bundle compliance); Infection Control Nurse (monitor); or recorded absence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takes action to prevent catheter linked blood stream infections.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Prevention of CLABSI</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(insertion bundle); nurses (maintenance bundle); Infection Control Nurse (monitor); or recorded absence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takes action to prevent surgical site infections.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Prevention of SSI</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Surgeons (pre-/intra-operative bundle); nurses (post-operative wound care); Infection Control Nurse (surveillance)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HIC.4.e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implements occupational health and safety practices to reduce the risk of transmitting microorganisms among health care providers.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Occupational health and safety;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Officer (programme); all staff (comply); Medical Superintendent (resources)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HIC.4.f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Appropriate post-exposure prophylaxis is provided to all staff members concerned.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Post-exposure prophylaxis; Section 6 (stop-work); Section 4 items 5,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Officer or duty medical officer (assess and initiate PEP); pharmacy (stock PEP medicines 24/7)</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HIC.4.a — The organisation takes action to prevent catheter-associated urinary tract infections.</w:t>
      </w:r>
    </w:p>
    <w:p>
      <w:pPr>
        <w:pStyle w:val="ListParagraph"/>
        <w:numPr>
          <w:ilvl w:val="0"/>
          <w:numId w:val="1"/>
        </w:numPr>
        <w:spacing w:after="60"/>
      </w:pPr>
      <w:r>
        <w:rPr>
          <w:sz w:val="22"/>
          <w:szCs w:val="22"/>
        </w:rPr>
        <w:t xml:space="preserve">CAUTI bundle insertion checklist (indication, aseptic technique, securing).</w:t>
      </w:r>
    </w:p>
    <w:p>
      <w:pPr>
        <w:pStyle w:val="ListParagraph"/>
        <w:numPr>
          <w:ilvl w:val="0"/>
          <w:numId w:val="1"/>
        </w:numPr>
        <w:spacing w:after="60"/>
      </w:pPr>
      <w:r>
        <w:rPr>
          <w:sz w:val="22"/>
          <w:szCs w:val="22"/>
        </w:rPr>
        <w:t xml:space="preserve">Daily catheter reassessment records in patient chart.</w:t>
      </w:r>
    </w:p>
    <w:p>
      <w:pPr>
        <w:pStyle w:val="ListParagraph"/>
        <w:numPr>
          <w:ilvl w:val="0"/>
          <w:numId w:val="1"/>
        </w:numPr>
        <w:spacing w:after="60"/>
      </w:pPr>
      <w:r>
        <w:rPr>
          <w:sz w:val="22"/>
          <w:szCs w:val="22"/>
        </w:rPr>
        <w:t xml:space="preserve">CAUTI rate per 1000 catheter-days reported to ICC.</w:t>
      </w:r>
    </w:p>
    <w:p>
      <w:pPr>
        <w:pStyle w:val="ListParagraph"/>
        <w:numPr>
          <w:ilvl w:val="0"/>
          <w:numId w:val="1"/>
        </w:numPr>
        <w:spacing w:after="60"/>
      </w:pPr>
      <w:r>
        <w:rPr>
          <w:sz w:val="22"/>
          <w:szCs w:val="22"/>
        </w:rPr>
        <w:t xml:space="preserve">Unit-level feedback records on bundle compliance.</w:t>
      </w:r>
    </w:p>
    <w:p>
      <w:pPr>
        <w:pStyle w:val="Heading2"/>
        <w:spacing w:after="100" w:before="220"/>
      </w:pPr>
      <w:r>
        <w:t xml:space="preserve">HIC.4.b — The organisation takes action to prevent infection-related ventilator associated complication/ventilator-associated pneumonia.</w:t>
      </w:r>
    </w:p>
    <w:p>
      <w:pPr>
        <w:pStyle w:val="ListParagraph"/>
        <w:numPr>
          <w:ilvl w:val="0"/>
          <w:numId w:val="1"/>
        </w:numPr>
        <w:spacing w:after="60"/>
      </w:pPr>
      <w:r>
        <w:rPr>
          <w:sz w:val="22"/>
          <w:szCs w:val="22"/>
        </w:rPr>
        <w:t xml:space="preserve">VAP bundle checklist (head elevation, sedation vacation, oral care, DVT/PUD prophylaxis).</w:t>
      </w:r>
    </w:p>
    <w:p>
      <w:pPr>
        <w:pStyle w:val="ListParagraph"/>
        <w:numPr>
          <w:ilvl w:val="0"/>
          <w:numId w:val="1"/>
        </w:numPr>
        <w:spacing w:after="60"/>
      </w:pPr>
      <w:r>
        <w:rPr>
          <w:sz w:val="22"/>
          <w:szCs w:val="22"/>
        </w:rPr>
        <w:t xml:space="preserve">VAP rate per 1000 ventilator-days reported to ICC.</w:t>
      </w:r>
    </w:p>
    <w:p>
      <w:pPr>
        <w:pStyle w:val="ListParagraph"/>
        <w:numPr>
          <w:ilvl w:val="0"/>
          <w:numId w:val="1"/>
        </w:numPr>
        <w:spacing w:after="60"/>
      </w:pPr>
      <w:r>
        <w:rPr>
          <w:sz w:val="22"/>
          <w:szCs w:val="22"/>
        </w:rPr>
        <w:t xml:space="preserve">Recorded absence where mechanical ventilation is not provided.</w:t>
      </w:r>
    </w:p>
    <w:p>
      <w:pPr>
        <w:pStyle w:val="ListParagraph"/>
        <w:numPr>
          <w:ilvl w:val="0"/>
          <w:numId w:val="1"/>
        </w:numPr>
        <w:spacing w:after="60"/>
      </w:pPr>
      <w:r>
        <w:rPr>
          <w:sz w:val="22"/>
          <w:szCs w:val="22"/>
        </w:rPr>
        <w:t xml:space="preserve">Unit-level feedback on bundle compliance.</w:t>
      </w:r>
    </w:p>
    <w:p>
      <w:pPr>
        <w:pStyle w:val="Heading2"/>
        <w:spacing w:after="100" w:before="220"/>
      </w:pPr>
      <w:r>
        <w:t xml:space="preserve">HIC.4.c — The organisation takes action to prevent catheter linked blood stream infections.</w:t>
      </w:r>
    </w:p>
    <w:p>
      <w:pPr>
        <w:pStyle w:val="ListParagraph"/>
        <w:numPr>
          <w:ilvl w:val="0"/>
          <w:numId w:val="1"/>
        </w:numPr>
        <w:spacing w:after="60"/>
      </w:pPr>
      <w:r>
        <w:rPr>
          <w:sz w:val="22"/>
          <w:szCs w:val="22"/>
        </w:rPr>
        <w:t xml:space="preserve">Central-line insertion bundle checklist (barrier precautions, skin antisepsis, site selection).</w:t>
      </w:r>
    </w:p>
    <w:p>
      <w:pPr>
        <w:pStyle w:val="ListParagraph"/>
        <w:numPr>
          <w:ilvl w:val="0"/>
          <w:numId w:val="1"/>
        </w:numPr>
        <w:spacing w:after="60"/>
      </w:pPr>
      <w:r>
        <w:rPr>
          <w:sz w:val="22"/>
          <w:szCs w:val="22"/>
        </w:rPr>
        <w:t xml:space="preserve">Daily line necessity review records.</w:t>
      </w:r>
    </w:p>
    <w:p>
      <w:pPr>
        <w:pStyle w:val="ListParagraph"/>
        <w:numPr>
          <w:ilvl w:val="0"/>
          <w:numId w:val="1"/>
        </w:numPr>
        <w:spacing w:after="60"/>
      </w:pPr>
      <w:r>
        <w:rPr>
          <w:sz w:val="22"/>
          <w:szCs w:val="22"/>
        </w:rPr>
        <w:t xml:space="preserve">CLABSI rate per 1000 line-days reported to ICC.</w:t>
      </w:r>
    </w:p>
    <w:p>
      <w:pPr>
        <w:pStyle w:val="ListParagraph"/>
        <w:numPr>
          <w:ilvl w:val="0"/>
          <w:numId w:val="1"/>
        </w:numPr>
        <w:spacing w:after="60"/>
      </w:pPr>
      <w:r>
        <w:rPr>
          <w:sz w:val="22"/>
          <w:szCs w:val="22"/>
        </w:rPr>
        <w:t xml:space="preserve">Recorded absence where central lines are not inserted.</w:t>
      </w:r>
    </w:p>
    <w:p>
      <w:pPr>
        <w:pStyle w:val="Heading2"/>
        <w:spacing w:after="100" w:before="220"/>
      </w:pPr>
      <w:r>
        <w:t xml:space="preserve">HIC.4.d — The organisation takes action to prevent surgical site infections.</w:t>
      </w:r>
    </w:p>
    <w:p>
      <w:pPr>
        <w:pStyle w:val="ListParagraph"/>
        <w:numPr>
          <w:ilvl w:val="0"/>
          <w:numId w:val="1"/>
        </w:numPr>
        <w:spacing w:after="60"/>
      </w:pPr>
      <w:r>
        <w:rPr>
          <w:sz w:val="22"/>
          <w:szCs w:val="22"/>
        </w:rPr>
        <w:t xml:space="preserve">SSI prevention bundle checklist (prophylaxis timing, skin prep, normothermia, glucose control).</w:t>
      </w:r>
    </w:p>
    <w:p>
      <w:pPr>
        <w:pStyle w:val="ListParagraph"/>
        <w:numPr>
          <w:ilvl w:val="0"/>
          <w:numId w:val="1"/>
        </w:numPr>
        <w:spacing w:after="60"/>
      </w:pPr>
      <w:r>
        <w:rPr>
          <w:sz w:val="22"/>
          <w:szCs w:val="22"/>
        </w:rPr>
        <w:t xml:space="preserve">SSI surveillance records up to 30/90 days post-procedure.</w:t>
      </w:r>
    </w:p>
    <w:p>
      <w:pPr>
        <w:pStyle w:val="ListParagraph"/>
        <w:numPr>
          <w:ilvl w:val="0"/>
          <w:numId w:val="1"/>
        </w:numPr>
        <w:spacing w:after="60"/>
      </w:pPr>
      <w:r>
        <w:rPr>
          <w:sz w:val="22"/>
          <w:szCs w:val="22"/>
        </w:rPr>
        <w:t xml:space="preserve">SSI rates by procedure category reported to ICC.</w:t>
      </w:r>
    </w:p>
    <w:p>
      <w:pPr>
        <w:pStyle w:val="ListParagraph"/>
        <w:numPr>
          <w:ilvl w:val="0"/>
          <w:numId w:val="1"/>
        </w:numPr>
        <w:spacing w:after="60"/>
      </w:pPr>
      <w:r>
        <w:rPr>
          <w:sz w:val="22"/>
          <w:szCs w:val="22"/>
        </w:rPr>
        <w:t xml:space="preserve">RCA for SSI clusters or rates above benchmark.</w:t>
      </w:r>
    </w:p>
    <w:p>
      <w:pPr>
        <w:pStyle w:val="Heading2"/>
        <w:spacing w:after="100" w:before="220"/>
      </w:pPr>
      <w:r>
        <w:t xml:space="preserve">HIC.4.e — The organisation implements occupational health and safety practices to reduce the risk of transmitting microorganisms among health care providers.</w:t>
      </w:r>
    </w:p>
    <w:p>
      <w:pPr>
        <w:pStyle w:val="ListParagraph"/>
        <w:numPr>
          <w:ilvl w:val="0"/>
          <w:numId w:val="1"/>
        </w:numPr>
        <w:spacing w:after="60"/>
      </w:pPr>
      <w:r>
        <w:rPr>
          <w:sz w:val="22"/>
          <w:szCs w:val="22"/>
        </w:rPr>
        <w:t xml:space="preserve">Staff immunisation register (hepatitis B titre, influenza, others).</w:t>
      </w:r>
    </w:p>
    <w:p>
      <w:pPr>
        <w:pStyle w:val="ListParagraph"/>
        <w:numPr>
          <w:ilvl w:val="0"/>
          <w:numId w:val="1"/>
        </w:numPr>
        <w:spacing w:after="60"/>
      </w:pPr>
      <w:r>
        <w:rPr>
          <w:sz w:val="22"/>
          <w:szCs w:val="22"/>
        </w:rPr>
        <w:t xml:space="preserve">Sharps injury register and trend analysis.</w:t>
      </w:r>
    </w:p>
    <w:p>
      <w:pPr>
        <w:pStyle w:val="ListParagraph"/>
        <w:numPr>
          <w:ilvl w:val="0"/>
          <w:numId w:val="1"/>
        </w:numPr>
        <w:spacing w:after="60"/>
      </w:pPr>
      <w:r>
        <w:rPr>
          <w:sz w:val="22"/>
          <w:szCs w:val="22"/>
        </w:rPr>
        <w:t xml:space="preserve">Fit-test records for N95 respirators.</w:t>
      </w:r>
    </w:p>
    <w:p>
      <w:pPr>
        <w:pStyle w:val="ListParagraph"/>
        <w:numPr>
          <w:ilvl w:val="0"/>
          <w:numId w:val="1"/>
        </w:numPr>
        <w:spacing w:after="60"/>
      </w:pPr>
      <w:r>
        <w:rPr>
          <w:sz w:val="22"/>
          <w:szCs w:val="22"/>
        </w:rPr>
        <w:t xml:space="preserve">Work-restriction log for staff with transmissible infections.</w:t>
      </w:r>
    </w:p>
    <w:p>
      <w:pPr>
        <w:pStyle w:val="Heading2"/>
        <w:spacing w:after="100" w:before="220"/>
      </w:pPr>
      <w:r>
        <w:t xml:space="preserve">HIC.4.f — Appropriate post-exposure prophylaxis is provided to all staff members concerned.</w:t>
      </w:r>
    </w:p>
    <w:p>
      <w:pPr>
        <w:pStyle w:val="ListParagraph"/>
        <w:numPr>
          <w:ilvl w:val="0"/>
          <w:numId w:val="1"/>
        </w:numPr>
        <w:spacing w:after="60"/>
      </w:pPr>
      <w:r>
        <w:rPr>
          <w:sz w:val="22"/>
          <w:szCs w:val="22"/>
        </w:rPr>
        <w:t xml:space="preserve">Exposure incident report with first-aid and reporting timestamps.</w:t>
      </w:r>
    </w:p>
    <w:p>
      <w:pPr>
        <w:pStyle w:val="ListParagraph"/>
        <w:numPr>
          <w:ilvl w:val="0"/>
          <w:numId w:val="1"/>
        </w:numPr>
        <w:spacing w:after="60"/>
      </w:pPr>
      <w:r>
        <w:rPr>
          <w:sz w:val="22"/>
          <w:szCs w:val="22"/>
        </w:rPr>
        <w:t xml:space="preserve">Risk assessment form (source status, exposure type, staff vaccination).</w:t>
      </w:r>
    </w:p>
    <w:p>
      <w:pPr>
        <w:pStyle w:val="ListParagraph"/>
        <w:numPr>
          <w:ilvl w:val="0"/>
          <w:numId w:val="1"/>
        </w:numPr>
        <w:spacing w:after="60"/>
      </w:pPr>
      <w:r>
        <w:rPr>
          <w:sz w:val="22"/>
          <w:szCs w:val="22"/>
        </w:rPr>
        <w:t xml:space="preserve">PEP prescription and initiation time record.</w:t>
      </w:r>
    </w:p>
    <w:p>
      <w:pPr>
        <w:pStyle w:val="ListParagraph"/>
        <w:numPr>
          <w:ilvl w:val="0"/>
          <w:numId w:val="1"/>
        </w:numPr>
        <w:spacing w:after="60"/>
      </w:pPr>
      <w:r>
        <w:rPr>
          <w:sz w:val="22"/>
          <w:szCs w:val="22"/>
        </w:rPr>
        <w:t xml:space="preserve">Follow-up blood test results at 6 weeks, 3 months and 6 months.</w:t>
      </w:r>
    </w:p>
    <w:p>
      <w:pPr>
        <w:pStyle w:val="ListParagraph"/>
        <w:numPr>
          <w:ilvl w:val="0"/>
          <w:numId w:val="1"/>
        </w:numPr>
        <w:spacing w:after="60"/>
      </w:pPr>
      <w:r>
        <w:rPr>
          <w:sz w:val="22"/>
          <w:szCs w:val="22"/>
        </w:rPr>
        <w:t xml:space="preserve">Confidential occupational health file for each exposed staff member.</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HIC/POL/04  |  Controlled document  |  Prevention of Healthcare Associated Infections in Patients and Staff</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2026-08-19T10:38:31.407Z</dcterms:created>
  <dcterms:modified xsi:type="dcterms:W3CDTF">2026-08-19T10:38:31.407Z</dcterms:modified>
</cp:coreProperties>
</file>

<file path=docProps/custom.xml><?xml version="1.0" encoding="utf-8"?>
<Properties xmlns="http://schemas.openxmlformats.org/officeDocument/2006/custom-properties" xmlns:vt="http://schemas.openxmlformats.org/officeDocument/2006/docPropsVTypes"/>
</file>