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Safety of Patients, Families, Staff and Visitors</w:t>
      </w:r>
    </w:p>
    <w:p>
      <w:pPr>
        <w:spacing w:after="300"/>
        <w:jc w:val="center"/>
      </w:pPr>
      <w:r>
        <w:rPr>
          <w:i/>
          <w:iCs/>
          <w:sz w:val="20"/>
          <w:szCs w:val="20"/>
        </w:rPr>
        <w:t xml:space="preserve">(Mandatory System Documentation as per NABH SHCO 3rd Edition — FMS.2.a, FMS.2.b, FMS.2.c, FMS.2.d, FMS.2.e, FMS.2.f, FMS.2.g)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HMP/FMS/POL-2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FMS.2.a, FMS.2.b, FMS.2.c, FMS.2.d, FMS.2.e, FMS.2.f, FMS.2.g</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FMS</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FMS.2.a</w:t>
            </w:r>
          </w:p>
        </w:tc>
        <w:tc>
          <w:tcPr>
            <w:tcW w:type="pct" w:w="45%"/>
          </w:tcPr>
          <w:p>
            <w:r>
              <w:rPr>
                <w:b w:val="false"/>
                <w:bCs w:val="false"/>
                <w:sz w:val="18"/>
                <w:szCs w:val="18"/>
              </w:rPr>
              <w:t xml:space="preserve">Patient-safety devices and infrastructure are installed across the organisation and inspected periodically.</w:t>
            </w:r>
          </w:p>
        </w:tc>
        <w:tc>
          <w:tcPr>
            <w:tcW w:type="pct" w:w="20%"/>
          </w:tcPr>
          <w:p>
            <w:r>
              <w:rPr>
                <w:b w:val="false"/>
                <w:bCs w:val="false"/>
                <w:sz w:val="18"/>
                <w:szCs w:val="18"/>
              </w:rPr>
              <w:t xml:space="preserve">Steps 1, 8</w:t>
            </w:r>
          </w:p>
        </w:tc>
        <w:tc>
          <w:tcPr>
            <w:tcW w:type="pct" w:w="20%"/>
          </w:tcPr>
          <w:p>
            <w:r>
              <w:rPr>
                <w:b w:val="false"/>
                <w:bCs w:val="false"/>
                <w:sz w:val="18"/>
                <w:szCs w:val="18"/>
              </w:rPr>
              <w:t xml:space="preserve">Named facilities lead inspects devices; FMS.5 and COP.12 remain those documents; quality or accreditation coordinator audits</w:t>
            </w:r>
          </w:p>
        </w:tc>
      </w:tr>
      <w:tr>
        <w:tc>
          <w:tcPr>
            <w:tcW w:type="pct" w:w="15%"/>
          </w:tcPr>
          <w:p>
            <w:r>
              <w:rPr>
                <w:b w:val="false"/>
                <w:bCs w:val="false"/>
                <w:sz w:val="18"/>
                <w:szCs w:val="18"/>
              </w:rPr>
              <w:t xml:space="preserve">FMS.2.b</w:t>
            </w:r>
          </w:p>
        </w:tc>
        <w:tc>
          <w:tcPr>
            <w:tcW w:type="pct" w:w="45%"/>
          </w:tcPr>
          <w:p>
            <w:r>
              <w:rPr>
                <w:b w:val="false"/>
                <w:bCs w:val="false"/>
                <w:sz w:val="18"/>
                <w:szCs w:val="18"/>
              </w:rPr>
              <w:t xml:space="preserve">The organisation has facilities for the differently-abled.</w:t>
            </w:r>
          </w:p>
        </w:tc>
        <w:tc>
          <w:tcPr>
            <w:tcW w:type="pct" w:w="20%"/>
          </w:tcPr>
          <w:p>
            <w:r>
              <w:rPr>
                <w:b w:val="false"/>
                <w:bCs w:val="false"/>
                <w:sz w:val="18"/>
                <w:szCs w:val="18"/>
              </w:rPr>
              <w:t xml:space="preserve">Steps 2, 8</w:t>
            </w:r>
          </w:p>
        </w:tc>
        <w:tc>
          <w:tcPr>
            <w:tcW w:type="pct" w:w="20%"/>
          </w:tcPr>
          <w:p>
            <w:r>
              <w:rPr>
                <w:b w:val="false"/>
                <w:bCs w:val="false"/>
                <w:sz w:val="18"/>
                <w:szCs w:val="18"/>
              </w:rPr>
              <w:t xml:space="preserve">Named facilities lead; quality or accreditation coordinator audits</w:t>
            </w:r>
          </w:p>
        </w:tc>
      </w:tr>
      <w:tr>
        <w:tc>
          <w:tcPr>
            <w:tcW w:type="pct" w:w="15%"/>
          </w:tcPr>
          <w:p>
            <w:r>
              <w:rPr>
                <w:b w:val="false"/>
                <w:bCs w:val="false"/>
                <w:sz w:val="18"/>
                <w:szCs w:val="18"/>
              </w:rPr>
              <w:t xml:space="preserve">FMS.2.c</w:t>
            </w:r>
          </w:p>
        </w:tc>
        <w:tc>
          <w:tcPr>
            <w:tcW w:type="pct" w:w="45%"/>
          </w:tcPr>
          <w:p>
            <w:r>
              <w:rPr>
                <w:b w:val="false"/>
                <w:bCs w:val="false"/>
                <w:sz w:val="18"/>
                <w:szCs w:val="18"/>
              </w:rPr>
              <w:t xml:space="preserve">Operational planning identifies areas which need to have extra security and describes access to different areas in the hospital by staff, patients, and visitors.</w:t>
            </w:r>
          </w:p>
        </w:tc>
        <w:tc>
          <w:tcPr>
            <w:tcW w:type="pct" w:w="20%"/>
          </w:tcPr>
          <w:p>
            <w:r>
              <w:rPr>
                <w:b w:val="false"/>
                <w:bCs w:val="false"/>
                <w:sz w:val="18"/>
                <w:szCs w:val="18"/>
              </w:rPr>
              <w:t xml:space="preserve">Steps 3, 8</w:t>
            </w:r>
          </w:p>
        </w:tc>
        <w:tc>
          <w:tcPr>
            <w:tcW w:type="pct" w:w="20%"/>
          </w:tcPr>
          <w:p>
            <w:r>
              <w:rPr>
                <w:b w:val="false"/>
                <w:bCs w:val="false"/>
                <w:sz w:val="18"/>
                <w:szCs w:val="18"/>
              </w:rPr>
              <w:t xml:space="preserve">Named security or facilities lead; COP.8/COP.12 remain those documents; quality or accreditation coordinator audits</w:t>
            </w:r>
          </w:p>
        </w:tc>
      </w:tr>
      <w:tr>
        <w:tc>
          <w:tcPr>
            <w:tcW w:type="pct" w:w="15%"/>
          </w:tcPr>
          <w:p>
            <w:r>
              <w:rPr>
                <w:b w:val="false"/>
                <w:bCs w:val="false"/>
                <w:sz w:val="18"/>
                <w:szCs w:val="18"/>
              </w:rPr>
              <w:t xml:space="preserve">FMS.2.d</w:t>
            </w:r>
          </w:p>
        </w:tc>
        <w:tc>
          <w:tcPr>
            <w:tcW w:type="pct" w:w="45%"/>
          </w:tcPr>
          <w:p>
            <w:r>
              <w:rPr>
                <w:b w:val="false"/>
                <w:bCs w:val="false"/>
                <w:sz w:val="18"/>
                <w:szCs w:val="18"/>
              </w:rPr>
              <w:t xml:space="preserve">Facility inspection rounds to ensure safety are conducted at least once a month.</w:t>
            </w:r>
          </w:p>
        </w:tc>
        <w:tc>
          <w:tcPr>
            <w:tcW w:type="pct" w:w="20%"/>
          </w:tcPr>
          <w:p>
            <w:r>
              <w:rPr>
                <w:b w:val="false"/>
                <w:bCs w:val="false"/>
                <w:sz w:val="18"/>
                <w:szCs w:val="18"/>
              </w:rPr>
              <w:t xml:space="preserve">Steps 4, 8</w:t>
            </w:r>
          </w:p>
        </w:tc>
        <w:tc>
          <w:tcPr>
            <w:tcW w:type="pct" w:w="20%"/>
          </w:tcPr>
          <w:p>
            <w:r>
              <w:rPr>
                <w:b w:val="false"/>
                <w:bCs w:val="false"/>
                <w:sz w:val="18"/>
                <w:szCs w:val="18"/>
              </w:rPr>
              <w:t xml:space="preserve">Named round owner walks the circuit; ROM.4 remains management duty; quality or accreditation coordinator audits</w:t>
            </w:r>
          </w:p>
        </w:tc>
      </w:tr>
      <w:tr>
        <w:tc>
          <w:tcPr>
            <w:tcW w:type="pct" w:w="15%"/>
          </w:tcPr>
          <w:p>
            <w:r>
              <w:rPr>
                <w:b w:val="false"/>
                <w:bCs w:val="false"/>
                <w:sz w:val="18"/>
                <w:szCs w:val="18"/>
              </w:rPr>
              <w:t xml:space="preserve">FMS.2.e</w:t>
            </w:r>
          </w:p>
        </w:tc>
        <w:tc>
          <w:tcPr>
            <w:tcW w:type="pct" w:w="45%"/>
          </w:tcPr>
          <w:p>
            <w:r>
              <w:rPr>
                <w:b w:val="false"/>
                <w:bCs w:val="false"/>
                <w:sz w:val="18"/>
                <w:szCs w:val="18"/>
              </w:rPr>
              <w:t xml:space="preserve">Organisation conducts electrical safety audits for the facility.</w:t>
            </w:r>
          </w:p>
        </w:tc>
        <w:tc>
          <w:tcPr>
            <w:tcW w:type="pct" w:w="20%"/>
          </w:tcPr>
          <w:p>
            <w:r>
              <w:rPr>
                <w:b w:val="false"/>
                <w:bCs w:val="false"/>
                <w:sz w:val="18"/>
                <w:szCs w:val="18"/>
              </w:rPr>
              <w:t xml:space="preserve">Steps 5, 8</w:t>
            </w:r>
          </w:p>
        </w:tc>
        <w:tc>
          <w:tcPr>
            <w:tcW w:type="pct" w:w="20%"/>
          </w:tcPr>
          <w:p>
            <w:r>
              <w:rPr>
                <w:b w:val="false"/>
                <w:bCs w:val="false"/>
                <w:sz w:val="18"/>
                <w:szCs w:val="18"/>
              </w:rPr>
              <w:t xml:space="preserve">Named competent auditor; FMS.1.e and FMS.3 remain those tests; quality or accreditation coordinator audits</w:t>
            </w:r>
          </w:p>
        </w:tc>
      </w:tr>
      <w:tr>
        <w:tc>
          <w:tcPr>
            <w:tcW w:type="pct" w:w="15%"/>
          </w:tcPr>
          <w:p>
            <w:r>
              <w:rPr>
                <w:b w:val="false"/>
                <w:bCs w:val="false"/>
                <w:sz w:val="18"/>
                <w:szCs w:val="18"/>
              </w:rPr>
              <w:t xml:space="preserve">FMS.2.f</w:t>
            </w:r>
          </w:p>
        </w:tc>
        <w:tc>
          <w:tcPr>
            <w:tcW w:type="pct" w:w="45%"/>
          </w:tcPr>
          <w:p>
            <w:r>
              <w:rPr>
                <w:b w:val="false"/>
                <w:bCs w:val="false"/>
                <w:sz w:val="18"/>
                <w:szCs w:val="18"/>
              </w:rPr>
              <w:t xml:space="preserve">There is a procedure which addresses the identification and disposal of material(s) not in use in the organisation.</w:t>
            </w:r>
          </w:p>
        </w:tc>
        <w:tc>
          <w:tcPr>
            <w:tcW w:type="pct" w:w="20%"/>
          </w:tcPr>
          <w:p>
            <w:r>
              <w:rPr>
                <w:b w:val="false"/>
                <w:bCs w:val="false"/>
                <w:sz w:val="18"/>
                <w:szCs w:val="18"/>
              </w:rPr>
              <w:t xml:space="preserve">Steps 6, 8</w:t>
            </w:r>
          </w:p>
        </w:tc>
        <w:tc>
          <w:tcPr>
            <w:tcW w:type="pct" w:w="20%"/>
          </w:tcPr>
          <w:p>
            <w:r>
              <w:rPr>
                <w:b w:val="false"/>
                <w:bCs w:val="false"/>
                <w:sz w:val="18"/>
                <w:szCs w:val="18"/>
              </w:rPr>
              <w:t xml:space="preserve">Named facilities lead holds the unused-material procedure; FMS.3 strikes equipment off inventory; HIC.3 remains BMW; quality or accreditation coordinator audits</w:t>
            </w:r>
          </w:p>
        </w:tc>
      </w:tr>
      <w:tr>
        <w:tc>
          <w:tcPr>
            <w:tcW w:type="pct" w:w="15%"/>
          </w:tcPr>
          <w:p>
            <w:r>
              <w:rPr>
                <w:b w:val="false"/>
                <w:bCs w:val="false"/>
                <w:sz w:val="18"/>
                <w:szCs w:val="18"/>
              </w:rPr>
              <w:t xml:space="preserve">FMS.2.g</w:t>
            </w:r>
          </w:p>
        </w:tc>
        <w:tc>
          <w:tcPr>
            <w:tcW w:type="pct" w:w="45%"/>
          </w:tcPr>
          <w:p>
            <w:r>
              <w:rPr>
                <w:b w:val="false"/>
                <w:bCs w:val="false"/>
                <w:sz w:val="18"/>
                <w:szCs w:val="18"/>
              </w:rPr>
              <w:t xml:space="preserve">Hazardous materials are identified and used safely within the organisation.</w:t>
            </w:r>
          </w:p>
        </w:tc>
        <w:tc>
          <w:tcPr>
            <w:tcW w:type="pct" w:w="20%"/>
          </w:tcPr>
          <w:p>
            <w:r>
              <w:rPr>
                <w:b w:val="false"/>
                <w:bCs w:val="false"/>
                <w:sz w:val="18"/>
                <w:szCs w:val="18"/>
              </w:rPr>
              <w:t xml:space="preserve">Steps 7, 8</w:t>
            </w:r>
          </w:p>
        </w:tc>
        <w:tc>
          <w:tcPr>
            <w:tcW w:type="pct" w:w="20%"/>
          </w:tcPr>
          <w:p>
            <w:r>
              <w:rPr>
                <w:b w:val="false"/>
                <w:bCs w:val="false"/>
                <w:sz w:val="18"/>
                <w:szCs w:val="18"/>
              </w:rPr>
              <w:t xml:space="preserve">Named facilities lead holds the inventory and building-spill method; HIC.2/MOM.8/HIC.3/AAC.6/FMS.4 remain those documents;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FMS</w:t>
            </w:r>
          </w:p>
        </w:tc>
        <w:tc>
          <w:tcPr>
            <w:tcW w:type="pct" w:w="75%"/>
          </w:tcPr>
          <w:p>
            <w:r>
              <w:rPr>
                <w:b w:val="false"/>
                <w:bCs w:val="false"/>
                <w:sz w:val="18"/>
                <w:szCs w:val="18"/>
              </w:rPr>
              <w:t xml:space="preserve">Facility Management and Safety (SHCO 3rd Edition Chapter 8)</w:t>
            </w:r>
          </w:p>
        </w:tc>
      </w:tr>
      <w:tr>
        <w:tc>
          <w:tcPr>
            <w:tcW w:type="pct" w:w="25%"/>
          </w:tcPr>
          <w:p>
            <w:r>
              <w:rPr>
                <w:b w:val="false"/>
                <w:bCs w:val="false"/>
                <w:sz w:val="18"/>
                <w:szCs w:val="18"/>
              </w:rPr>
              <w:t xml:space="preserve">NBC</w:t>
            </w:r>
          </w:p>
        </w:tc>
        <w:tc>
          <w:tcPr>
            <w:tcW w:type="pct" w:w="75%"/>
          </w:tcPr>
          <w:p>
            <w:r>
              <w:rPr>
                <w:b w:val="false"/>
                <w:bCs w:val="false"/>
                <w:sz w:val="18"/>
                <w:szCs w:val="18"/>
              </w:rPr>
              <w:t xml:space="preserve">National Building Code of India, 2016</w:t>
            </w:r>
          </w:p>
        </w:tc>
      </w:tr>
      <w:tr>
        <w:tc>
          <w:tcPr>
            <w:tcW w:type="pct" w:w="25%"/>
          </w:tcPr>
          <w:p>
            <w:r>
              <w:rPr>
                <w:b w:val="false"/>
                <w:bCs w:val="false"/>
                <w:sz w:val="18"/>
                <w:szCs w:val="18"/>
              </w:rPr>
              <w:t xml:space="preserve">ELCB</w:t>
            </w:r>
          </w:p>
        </w:tc>
        <w:tc>
          <w:tcPr>
            <w:tcW w:type="pct" w:w="75%"/>
          </w:tcPr>
          <w:p>
            <w:r>
              <w:rPr>
                <w:b w:val="false"/>
                <w:bCs w:val="false"/>
                <w:sz w:val="18"/>
                <w:szCs w:val="18"/>
              </w:rPr>
              <w:t xml:space="preserve">earth-leakage circuit breaker</w:t>
            </w:r>
          </w:p>
        </w:tc>
      </w:tr>
      <w:tr>
        <w:tc>
          <w:tcPr>
            <w:tcW w:type="pct" w:w="25%"/>
          </w:tcPr>
          <w:p>
            <w:r>
              <w:rPr>
                <w:b w:val="false"/>
                <w:bCs w:val="false"/>
                <w:sz w:val="18"/>
                <w:szCs w:val="18"/>
              </w:rPr>
              <w:t xml:space="preserve">RCCB</w:t>
            </w:r>
          </w:p>
        </w:tc>
        <w:tc>
          <w:tcPr>
            <w:tcW w:type="pct" w:w="75%"/>
          </w:tcPr>
          <w:p>
            <w:r>
              <w:rPr>
                <w:b w:val="false"/>
                <w:bCs w:val="false"/>
                <w:sz w:val="18"/>
                <w:szCs w:val="18"/>
              </w:rPr>
              <w:t xml:space="preserve">residual-current circuit breaker</w:t>
            </w:r>
          </w:p>
        </w:tc>
      </w:tr>
      <w:tr>
        <w:tc>
          <w:tcPr>
            <w:tcW w:type="pct" w:w="25%"/>
          </w:tcPr>
          <w:p>
            <w:r>
              <w:rPr>
                <w:b w:val="false"/>
                <w:bCs w:val="false"/>
                <w:sz w:val="18"/>
                <w:szCs w:val="18"/>
              </w:rPr>
              <w:t xml:space="preserve">CCTV</w:t>
            </w:r>
          </w:p>
        </w:tc>
        <w:tc>
          <w:tcPr>
            <w:tcW w:type="pct" w:w="75%"/>
          </w:tcPr>
          <w:p>
            <w:r>
              <w:rPr>
                <w:b w:val="false"/>
                <w:bCs w:val="false"/>
                <w:sz w:val="18"/>
                <w:szCs w:val="18"/>
              </w:rPr>
              <w:t xml:space="preserve">closed-circuit television</w:t>
            </w:r>
          </w:p>
        </w:tc>
      </w:tr>
      <w:tr>
        <w:tc>
          <w:tcPr>
            <w:tcW w:type="pct" w:w="25%"/>
          </w:tcPr>
          <w:p>
            <w:r>
              <w:rPr>
                <w:b w:val="false"/>
                <w:bCs w:val="false"/>
                <w:sz w:val="18"/>
                <w:szCs w:val="18"/>
              </w:rPr>
              <w:t xml:space="preserve">SDS</w:t>
            </w:r>
          </w:p>
        </w:tc>
        <w:tc>
          <w:tcPr>
            <w:tcW w:type="pct" w:w="75%"/>
          </w:tcPr>
          <w:p>
            <w:r>
              <w:rPr>
                <w:b w:val="false"/>
                <w:bCs w:val="false"/>
                <w:sz w:val="18"/>
                <w:szCs w:val="18"/>
              </w:rPr>
              <w:t xml:space="preserve">safety data sheet</w:t>
            </w:r>
          </w:p>
        </w:tc>
      </w:tr>
      <w:tr>
        <w:tc>
          <w:tcPr>
            <w:tcW w:type="pct" w:w="25%"/>
          </w:tcPr>
          <w:p>
            <w:r>
              <w:rPr>
                <w:b w:val="false"/>
                <w:bCs w:val="false"/>
                <w:sz w:val="18"/>
                <w:szCs w:val="18"/>
              </w:rPr>
              <w:t xml:space="preserve">PESO</w:t>
            </w:r>
          </w:p>
        </w:tc>
        <w:tc>
          <w:tcPr>
            <w:tcW w:type="pct" w:w="75%"/>
          </w:tcPr>
          <w:p>
            <w:r>
              <w:rPr>
                <w:b w:val="false"/>
                <w:bCs w:val="false"/>
                <w:sz w:val="18"/>
                <w:szCs w:val="18"/>
              </w:rPr>
              <w:t xml:space="preserve">Petroleum and Explosives Safety Organisation (named only as a ROM.2.c / FMS.4 flag, not as a duty of this document)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the environment and facilities of HMP Foundation operate to ensure the safety of patients, their families, staff and visitors: how patient-safety devices and infrastructure are installed and inspected; how facilities for the differently-abled are provided; how operational planning identifies extra-security areas and describes access by staff, patients and visitors; how facility inspection rounds to ensure safety are conducted at least once a month; how electrical safety audits of the facility are conducted; how unused material is identified and disposed of; and how hazardous materials are identified and used safely.
The chapter intent is a safe and secure environment, including regular facility inspection rounds, safe management of hazardous materials, and action on issues that arise from the facility. A signed monthly register completed from the engineering office, a chemical store with no identification, or biomedical-waste colours offered as unused-material disposal, is not that intent.
This document is facility safety of people in the building. It is not FMS.1 planned utilities and energy initiatives. It is not FMS.3 equipment PPM. It is not FMS.4 medical gases. It is not FMS.5 fire and non-fire emergency plans, though monthly rounds and electrical audits feed those plans. It is not HIC.3 biomedical waste. It is not the billing ledger.</w:t>
      </w:r>
    </w:p>
    <w:p>
      <w:pPr>
        <w:pStyle w:val="Heading1"/>
        <w:spacing w:after="150" w:before="300"/>
      </w:pPr>
      <w:r>
        <w:t xml:space="preserve">2. Scope</w:t>
      </w:r>
    </w:p>
    <w:p>
      <w:pPr>
        <w:spacing w:after="150"/>
      </w:pPr>
      <w:r>
        <w:rPr>
          <w:sz w:val="22"/>
          <w:szCs w:val="22"/>
        </w:rPr>
        <w:t xml:space="preserve">This policy applies to the buildings, grounds and occupied spaces of HMP Foundation, to the people who install and inspect patient-safety devices and infrastructure, who provide access for the differently-abled, who plan extra-security and access control, who conduct monthly facility inspection rounds, who perform electrical safety audits, who condemn and dispose of material not in use, and who identify and control hazardous materials used in the facility.
It covers: patient-safety devices and infrastructure and their periodic inspection; facilities for the differently-abled; extra-security areas and access by staff, patients and visitors; facility inspection rounds at least once a month; electrical safety audits; identification and disposal of material not in use; and identification and safe use of hazardous materials.
Boundaries with other policies of HMP Foundation:
- FMS.1 owns planned space, drawings, wayfinding, round-the-clock water/electricity, backup testing and energy initiatives. A backup-test failure found on a round is recorded here as a safety finding and handed back to FMS.1 to fix the plant.
- FMS.3 owns medical and support-service equipment inventory, PPM, calibration, recalls and downtime. A broken grab-rail is this document's infrastructure; a failed ventilator is FMS.3.
- FMS.4 owns medical-gas handling, storage, distribution, use, backup and piped-system maintenance. A leaking cylinder found on a round is handed to FMS.4; this document does not write the gas SOP.
- FMS.5 owns fire and non-fire emergency plans, exit display, drills, fire-equipment maintenance and service continuity. Fire detection/suppression and fire extinguishers as fire provisions live there. A blocked exit found on a monthly round is a finding here that FMS.5 must close. HANDOFF ACCEPTED from ROM.4: management risk duty stays ROM.4.a; this document writes the monthly facility inspection rounds; FMS.5 writes the fire plan.
- AAC.4.h owns that a laboratory result is not issued from an overdue or failed calibrator. AAC.5.i owns imaging AERB QA and no-report-if-overdue. AAC.6 owns the laboratory safety programme (bench chemical hygiene, lab fire pointing at FMS.5, cabinet certification as a lab-safety condition). THIS document owns hospital-wide hazardous materials and monthly facility rounds. Lab-bench chemical hygiene stays AAC.6; building chemical stores, diesel, mercury if still present, and house-keeping chemicals are here. HANDOFF ACCEPTED from the AAC FMS forward-ref.
- AAC.6.e radiation/PC-PNDT signs remain AAC.6. FMS.1.c is wayfinding. This document does not post those signs.
- COP.8.f owns matching, handing-over, nursery access as a care process, and the missing-child/abuse response. THIS document's FMS.2.c owns locks, cameras, door hardware and the access description as building security. HANDOFF ACCEPTED.
- COP.12.b owns bedside observation, call method, accompaniment and noticing a missing vulnerable patient. THIS document owns locks, CCTV and fabric. HANDOFF ACCEPTED.
- HIC.2 owns blood and body-fluid spills. THIS document's FMS.2.g owns chemical, mercury and other building hazardous-material spills. Dual entry when a spill is both. HANDOFF ACCEPTED from the HIC.2 FMS spill flag.
- HIC.3 owns biomedical-waste colour, internal transport, SPCB authorisation and common-facility handover. THIS document's FMS.2.f is identification and disposal of material not in use (condemned furniture, obsolete non-device equipment, unused construction debris, expired non-BMW stores). It is not the four-colour clinical waste stream. WHO Safe Management of Wastes from Health-Care Activities (chapter reference 21) is a framework only; colour code and SPCB remain HIC.3. BMW Rules are not restated and are not in paragraph 2.
- MOM.8 owns cytotoxic spill at preparation and administration. Building chemical/mercury spill is here. Dual entry when a cytotoxic container is found leaking in a store that this document controls.
- HIC.6 owns steriliser validation as a reprocessing act. The steriliser as equipment is FMS.3.
- ROM.4.a is management ensuring proactive risk. Monthly rounds here are the facility method that management duty uses. This document does not rewrite ROM.4.
- PRE.5 billing is not this document. A facilities tariff is not a safety round.
- PSQ.5 owns incidents. A safety finding that caused harm is also an incident; the round remains this document.
- Gudlavalleti (chapter reference 11) is the disability-access framework for FMS.2.b, not a pasted accessibility-audit form.
- NBC 2016 (chapter reference 4) is the building/fire/electrical-installation framework as the local authority applied it. IS 732 wiring, IS 3043 earthing and IS 2190 extinguisher practice are NBC-pointed frameworks, not extra paragraph-2 statutes and not Central Electricity Authority regulations imported here. Hospital Safety Index (chapter reference 22) is an evaluator framework, not a mandated score.</w:t>
      </w:r>
    </w:p>
    <w:p>
      <w:pPr>
        <w:pStyle w:val="Heading1"/>
        <w:spacing w:after="150" w:before="300"/>
      </w:pPr>
      <w:r>
        <w:t xml:space="preserve">3. Policy Statement</w:t>
      </w:r>
    </w:p>
    <w:p>
      <w:pPr>
        <w:spacing w:after="150"/>
      </w:pPr>
      <w:r>
        <w:rPr>
          <w:sz w:val="22"/>
          <w:szCs w:val="22"/>
        </w:rPr>
        <w:t xml:space="preserve">HMP Foundation installs patient-safety devices and infrastructure across the organisation and inspects them periodically.
HMP Foundation has facilities for the differently-abled.
HMP Foundation identifies areas that need extra security and describes access to different areas by staff, patients and visitors.
HMP Foundation conducts facility inspection rounds to ensure safety at least once a month.
HMP Foundation conducts electrical safety audits for the facility.
HMP Foundation has a procedure that addresses identification and disposal of material not in use.
HMP Foundation identifies hazardous materials and uses them safely.
HMP Foundation does not treat a monthly register signed without a walk, biomedical-waste colours offered as unused-material disposal, or a chemical store with no identification, as that duty.</w:t>
      </w:r>
    </w:p>
    <w:p>
      <w:pPr>
        <w:pStyle w:val="Heading1"/>
        <w:spacing w:after="150" w:before="300"/>
      </w:pPr>
      <w:r>
        <w:t xml:space="preserve">4. Procedure</w:t>
      </w:r>
    </w:p>
    <w:p>
      <w:pPr>
        <w:spacing w:after="90" w:before="240"/>
      </w:pPr>
      <w:r>
        <w:rPr>
          <w:b/>
          <w:bCs/>
          <w:sz w:val="23"/>
          <w:szCs w:val="23"/>
        </w:rPr>
        <w:t xml:space="preserve">1. Patient-safety devices and infrastructure, installed and inspected (FMS.2.a)</w:t>
      </w:r>
    </w:p>
    <w:p>
      <w:pPr>
        <w:spacing w:after="120"/>
      </w:pPr>
      <w:r>
        <w:rPr>
          <w:sz w:val="22"/>
          <w:szCs w:val="22"/>
        </w:rPr>
        <w:t xml:space="preserve">Patient-safety devices and infrastructure are installed across the organisation and inspected periodically.</w:t>
      </w:r>
    </w:p>
    <w:p>
      <w:pPr>
        <w:spacing w:after="120"/>
      </w:pPr>
      <w:r>
        <w:rPr>
          <w:sz w:val="22"/>
          <w:szCs w:val="22"/>
        </w:rPr>
        <w:t xml:space="preserve">This is fabric that prevents a foreseeable harm in the building: grab rails in toilets and wet areas, anti-skid flooring where water is expected, window restrictors on upper floors, bumper guards on trolley routes, nurse-call or emergency-bell infrastructure as hardware (COP.12 owns the bedside observation method that uses a call; this owns that the bell exists and works), bed-rail hardware as furniture (COP.12 owns when a rail is used as a falls/restraint decision), and similar devices this hospital actually runs. Fire detection, alarms, extinguishers and suppression are FMS.5 fire provisions, inspected under FMS.5.d; they are listed on a monthly round as found/blocked/failed but are not this OE's install-and-inspect programme counted twice.</w:t>
      </w:r>
    </w:p>
    <w:p>
      <w:pPr>
        <w:spacing w:after="120"/>
      </w:pPr>
      <w:r>
        <w:rPr>
          <w:sz w:val="22"/>
          <w:szCs w:val="22"/>
        </w:rPr>
        <w:t xml:space="preserve">The failure mode is a grab rail that pulled out of a wet-wall fixing, a call bell that rings at the panel but not in the room, or an inspection done from a purchase invoice. Periodic inspection is [Hospital to define — which patient-safety devices and infrastructure are installed, and the inspection interval and method]. NBC 2016 (chapter reference 4) and Aggarwal et al. / Health Facilities Management (chapter references 1 and 13) are patient-safety infrastructure frameworks, not a pasted device catalogue.</w:t>
      </w:r>
    </w:p>
    <w:p>
      <w:pPr>
        <w:spacing w:after="90" w:before="240"/>
      </w:pPr>
      <w:r>
        <w:rPr>
          <w:b/>
          <w:bCs/>
          <w:sz w:val="23"/>
          <w:szCs w:val="23"/>
        </w:rPr>
        <w:t xml:space="preserve">2. Facilities for the differently-abled (FMS.2.b)</w:t>
      </w:r>
    </w:p>
    <w:p>
      <w:pPr>
        <w:spacing w:after="120"/>
      </w:pPr>
      <w:r>
        <w:rPr>
          <w:sz w:val="22"/>
          <w:szCs w:val="22"/>
        </w:rPr>
        <w:t xml:space="preserve">The organisation has facilities for the differently-abled.</w:t>
      </w:r>
    </w:p>
    <w:p>
      <w:pPr>
        <w:spacing w:after="120"/>
      </w:pPr>
      <w:r>
        <w:rPr>
          <w:sz w:val="22"/>
          <w:szCs w:val="22"/>
        </w:rPr>
        <w:t xml:space="preserve">Gudlavalleti (chapter reference 11) is the South-Asian disability-access framework in the chapter bibliography. This step is the facilities this hospital actually provides: ramps or a working lift to the floors it uses for patients, accessible toilet, wayfinding that a wheelchair user can follow (consistent with FMS.1.c), and the other provisions this hospital has defined for the disabilities it can reasonably accommodate in this building. A single ramp to a locked side door is not this OE.</w:t>
      </w:r>
    </w:p>
    <w:p>
      <w:pPr>
        <w:spacing w:after="120"/>
      </w:pPr>
      <w:r>
        <w:rPr>
          <w:sz w:val="22"/>
          <w:szCs w:val="22"/>
        </w:rPr>
        <w:t xml:space="preserve">Which facilities are in place, how they are kept usable (not blocked by a trolley bay), and how a failure is recorded, are [Hospital to define — facilities for the differently-abled and how they are kept usable]. NBC 2016 access provisions apply insofar as the local authority applied them to this occupancy. This step does not invent a NABH gradient or door-width figure for every SHCO.</w:t>
      </w:r>
    </w:p>
    <w:p>
      <w:pPr>
        <w:spacing w:after="90" w:before="240"/>
      </w:pPr>
      <w:r>
        <w:rPr>
          <w:b/>
          <w:bCs/>
          <w:sz w:val="23"/>
          <w:szCs w:val="23"/>
        </w:rPr>
        <w:t xml:space="preserve">3. Extra security and access to areas (FMS.2.c)</w:t>
      </w:r>
    </w:p>
    <w:p>
      <w:pPr>
        <w:spacing w:after="120"/>
      </w:pPr>
      <w:r>
        <w:rPr>
          <w:sz w:val="22"/>
          <w:szCs w:val="22"/>
        </w:rPr>
        <w:t xml:space="preserve">Operational planning identifies areas which need to have extra security and describes access to different areas in the hospital by staff, patients, and visitors.</w:t>
      </w:r>
    </w:p>
    <w:p>
      <w:pPr>
        <w:spacing w:after="120"/>
      </w:pPr>
      <w:r>
        <w:rPr>
          <w:sz w:val="22"/>
          <w:szCs w:val="22"/>
        </w:rPr>
        <w:t xml:space="preserve">Extra-security areas typically include pharmacy stores, medical-records if held on site, nursery/labour as COP.8 uses them, server or plant rooms, gas manifold (FMS.4), and any other area this hospital has named. COP.8.f owns the care process of matching and handing over a neonate and the missing-child response; COP.12.b owns bedside observation of a vulnerable adult. This step owns locks, access-control hardware, CCTV if installed, and the written description of who may enter which area. A CCTV monitor that is never watched is not extra security.</w:t>
      </w:r>
    </w:p>
    <w:p>
      <w:pPr>
        <w:spacing w:after="120"/>
      </w:pPr>
      <w:r>
        <w:rPr>
          <w:sz w:val="22"/>
          <w:szCs w:val="22"/>
        </w:rPr>
        <w:t xml:space="preserve">Which areas are extra-security, the access description for staff, patients and visitors, and how a breach is recorded and handed to PSQ.5 when it is also an incident, are [Hospital to define — extra-security areas, access by staff, patients and visitors, and the hardware that enforces it].</w:t>
      </w:r>
    </w:p>
    <w:p>
      <w:pPr>
        <w:spacing w:after="90" w:before="240"/>
      </w:pPr>
      <w:r>
        <w:rPr>
          <w:b/>
          <w:bCs/>
          <w:sz w:val="23"/>
          <w:szCs w:val="23"/>
        </w:rPr>
        <w:t xml:space="preserve">4. Facility inspection rounds at least once a month (FMS.2.d)</w:t>
      </w:r>
    </w:p>
    <w:p>
      <w:pPr>
        <w:spacing w:after="120"/>
      </w:pPr>
      <w:r>
        <w:rPr>
          <w:sz w:val="22"/>
          <w:szCs w:val="22"/>
        </w:rPr>
        <w:t xml:space="preserve">Facility inspection rounds to ensure safety are conducted at least once a month. That interval is in the objective element and is not hospital-optional. This is a Core requirement.</w:t>
      </w:r>
    </w:p>
    <w:p>
      <w:pPr>
        <w:spacing w:after="120"/>
      </w:pPr>
      <w:r>
        <w:rPr>
          <w:sz w:val="22"/>
          <w:szCs w:val="22"/>
        </w:rPr>
        <w:t xml:space="preserve">The round is a walk of occupied clinical and support spaces that can find a blocked exit, a failed grab rail, a wet floor without warning, a chemical container without a label, a condemned item still in a corridor (step 6), an electrical panel left open (step 5), or a fire extinguisher missing (handed to FMS.5). The failure mode this OE exists to catch is a register signed on the last day of the month from the engineering office with no ward walk, or a round that only inspects the director's corridor.</w:t>
      </w:r>
    </w:p>
    <w:p>
      <w:pPr>
        <w:spacing w:after="120"/>
      </w:pPr>
      <w:r>
        <w:rPr>
          <w:sz w:val="22"/>
          <w:szCs w:val="22"/>
        </w:rPr>
        <w:t xml:space="preserve">Who walks, which areas are in the circuit, how a finding is recorded and closed, who sees overdue closures (ROM.4.a may use these as risk inputs; this remains the facility method), and how a missed month is treated as a defect, are [Hospital to define — who conducts the monthly facility inspection round, the circuit, and how findings are closed]. At least once a month remains the floor. A finding that is also an incident is dual-entered in PSQ.5.</w:t>
      </w:r>
    </w:p>
    <w:p>
      <w:pPr>
        <w:spacing w:after="90" w:before="240"/>
      </w:pPr>
      <w:r>
        <w:rPr>
          <w:b/>
          <w:bCs/>
          <w:sz w:val="23"/>
          <w:szCs w:val="23"/>
        </w:rPr>
        <w:t xml:space="preserve">5. Electrical safety audits of the facility (FMS.2.e)</w:t>
      </w:r>
    </w:p>
    <w:p>
      <w:pPr>
        <w:spacing w:after="120"/>
      </w:pPr>
      <w:r>
        <w:rPr>
          <w:sz w:val="22"/>
          <w:szCs w:val="22"/>
        </w:rPr>
        <w:t xml:space="preserve">Organisation conducts electrical safety audits for the facility.</w:t>
      </w:r>
    </w:p>
    <w:p>
      <w:pPr>
        <w:spacing w:after="120"/>
      </w:pPr>
      <w:r>
        <w:rPr>
          <w:sz w:val="22"/>
          <w:szCs w:val="22"/>
        </w:rPr>
        <w:t xml:space="preserve">This is not the FMS.1.e loaded DG test and not the FMS.3 calibration of a medical device. It is an audit of the electrical installation as a facility: earthing continuity, residual-current / earth-leakage protection on wet-area and patient-care circuits, overload and discrimination, damaged flexible cords, socket outlets in wet areas, panel labelling and lockability, and isolated-power or equivalent provision in OT if this hospital runs an OT. NBC 2016 (chapter reference 4) is the building-code hook. IS 732 (wiring practice) and IS 3043 (earthing) are NBC-pointed frameworks, not extra paragraph-2 statutes. Central Electricity Authority (Measures relating to Safety and Electric Supply) Regulations are not a numbered FMS chapter reference and are not imported into Disclaimer; the hospital's applicable-legislation register remains ROM.2.c if that instrument actually applies to this occupancy.</w:t>
      </w:r>
    </w:p>
    <w:p>
      <w:pPr>
        <w:spacing w:after="120"/>
      </w:pPr>
      <w:r>
        <w:rPr>
          <w:sz w:val="22"/>
          <w:szCs w:val="22"/>
        </w:rPr>
        <w:t xml:space="preserve">The failure mode is a megger reading filed once at commissioning with no subsequent audit, or an audit that never enters the OT because "biomedical owns it". Who audits (in-house competent person or licensed contractor), the scope, the interval, and how a failed earth or a missing ELCB is isolated until repaired, are [Hospital to define — electrical safety audit scope, competence of the auditor, interval, and isolation-until-repaired rule]. A failed medical device is still FMS.3; a failed building circuit is this audit.</w:t>
      </w:r>
    </w:p>
    <w:p>
      <w:pPr>
        <w:spacing w:after="90" w:before="240"/>
      </w:pPr>
      <w:r>
        <w:rPr>
          <w:b/>
          <w:bCs/>
          <w:sz w:val="23"/>
          <w:szCs w:val="23"/>
        </w:rPr>
        <w:t xml:space="preserve">6. Identification and disposal of material not in use (FMS.2.f)</w:t>
      </w:r>
    </w:p>
    <w:p>
      <w:pPr>
        <w:spacing w:after="120"/>
      </w:pPr>
      <w:r>
        <w:rPr>
          <w:sz w:val="22"/>
          <w:szCs w:val="22"/>
        </w:rPr>
        <w:t xml:space="preserve">There is a procedure which addresses the identification and disposal of material(s) not in use in the organisation. This step is the documented-evidence anchor of a Commitment requirement the standard asterisks. An assessor will ask how a condemned bed, an obsolete monitor that is not a BMW item, or a stack of unused construction debris is identified and actually leaves the clinical floor. The answer must be a procedure that identifies and disposes of material not in use, not HIC.3's four-colour biomedical-waste stream offered as this OE, not a store-room that is simply locked, and not a sale-to-scrap handshake with no identification step.</w:t>
      </w:r>
    </w:p>
    <w:p>
      <w:pPr>
        <w:spacing w:after="120"/>
      </w:pPr>
      <w:r>
        <w:rPr>
          <w:sz w:val="22"/>
          <w:szCs w:val="22"/>
        </w:rPr>
        <w:t xml:space="preserve">The reason this is distinct from HIC.3 is that the book split them. HIC.3 is biomedical waste: colour, internal transport, SPCB, common-facility handover. WHO Safe Management of Wastes from Health-Care Activities (chapter reference 21) is listed in this chapter as a waste framework; it does not move BMW ownership here. Material not in use is condemned furniture, obsolete equipment that FMS.3 has struck off the inventory, unused building materials, and expired non-BMW general stores. The common error is to point at the yellow bag and call the corridor clear, or to leave a condemned ventilator in a ward bay "until biomedical collects it" with no identification tag.</w:t>
      </w:r>
    </w:p>
    <w:p>
      <w:pPr>
        <w:spacing w:after="120"/>
      </w:pPr>
      <w:r>
        <w:rPr>
          <w:sz w:val="22"/>
          <w:szCs w:val="22"/>
        </w:rPr>
        <w:t xml:space="preserve">How material not in use is identified (tag, location, date, owner), who authorises condemnation including FMS.3 strike-off when the item is equipment, how it is stored so it cannot be reused on a patient, how it is disposed of or sold, and the split that BMW remains HIC.3, are [Hospital to define — the procedure that identifies and disposes of material not in use, including the HIC.3 split]. A tagged item that is still in a patient bay is a failure of this OE.</w:t>
      </w:r>
    </w:p>
    <w:p>
      <w:pPr>
        <w:spacing w:after="90" w:before="240"/>
      </w:pPr>
      <w:r>
        <w:rPr>
          <w:b/>
          <w:bCs/>
          <w:sz w:val="23"/>
          <w:szCs w:val="23"/>
        </w:rPr>
        <w:t xml:space="preserve">7. Hazardous materials identified and used safely (FMS.2.g)</w:t>
      </w:r>
    </w:p>
    <w:p>
      <w:pPr>
        <w:spacing w:after="120"/>
      </w:pPr>
      <w:r>
        <w:rPr>
          <w:sz w:val="22"/>
          <w:szCs w:val="22"/>
        </w:rPr>
        <w:t xml:space="preserve">Hazardous materials are identified and used safely within the organisation. This step is the documented-evidence anchor of a Core requirement the standard asterisks. An assessor will ask for the list, the location, the label, the PPE and the spill method for chemicals this hospital actually holds. The answer must be identification and safe use of hazardous materials in the facility, not HIC.2's blood-spill SOP counted as this OE, not MOM.8's cytotoxic bench spill counted as this OE, not HIC.3's BMW colours, and not AAC.6's laboratory chemical-hygiene programme counted as the whole hospital list.</w:t>
      </w:r>
    </w:p>
    <w:p>
      <w:pPr>
        <w:spacing w:after="120"/>
      </w:pPr>
      <w:r>
        <w:rPr>
          <w:sz w:val="22"/>
          <w:szCs w:val="22"/>
        </w:rPr>
        <w:t xml:space="preserve">The reason this is a hospital-wide facility OE is that the chapter intent says the organisation safely manages hazardous materials. AAC.6 owns bench chemical hygiene and lab fire pointing at FMS.5. HIC.2 owns blood and body-fluid spills. MOM.8 owns cytotoxic preparation/administration spills. HIC.3 owns BMW. This OE is the facility list: housekeeping chemicals, water-treatment chemicals, diesel and other fuels, mercury if a sphygmomanometer or thermometer stock still exists, engineering solvents, and laboratory bulk stores that sit outside the bench programme. Dual entry when a spill meets two definitions. The common error is an SDS folder in quality with no label on the actual jerry-can, or a mercury spill kit that was never opened because "we went digital" while a mercury column still sits in a drawer.</w:t>
      </w:r>
    </w:p>
    <w:p>
      <w:pPr>
        <w:spacing w:after="120"/>
      </w:pPr>
      <w:r>
        <w:rPr>
          <w:sz w:val="22"/>
          <w:szCs w:val="22"/>
        </w:rPr>
        <w:t xml:space="preserve">The inventory of hazardous materials this hospital actually holds (or a recorded absence for a class it does not hold), labelling and segregation, PPE, the spill method for chemical/mercury/fuel as distinct from HIC.2 blood and MOM.8 cytotoxic, and who may use which material, are [Hospital to define — identification and safe use of hazardous materials, including spill method for building chemicals and mercury, with HIC.2 / MOM.8 / HIC.3 / AAC.6 left as those documents]. NBC 2016 storage provisions apply as the local authority applied them. PESO/explosives rules for gas cylinders are FMS.4 / ROM.2.c, not this chemical list counted twice.</w:t>
      </w:r>
    </w:p>
    <w:p>
      <w:pPr>
        <w:spacing w:after="90" w:before="240"/>
      </w:pPr>
      <w:r>
        <w:rPr>
          <w:b/>
          <w:bCs/>
          <w:sz w:val="23"/>
          <w:szCs w:val="23"/>
        </w:rPr>
        <w:t xml:space="preserve">8. Records, review and the order of operations (FMS.2.a, FMS.2.b, FMS.2.c, FMS.2.d, FMS.2.e, FMS.2.f, FMS.2.g)</w:t>
      </w:r>
    </w:p>
    <w:p>
      <w:pPr>
        <w:spacing w:after="120"/>
      </w:pPr>
      <w:r>
        <w:rPr>
          <w:sz w:val="22"/>
          <w:szCs w:val="22"/>
        </w:rPr>
        <w:t xml:space="preserve">The device-and-infrastructure inspection records, differently-abled facility record, extra-security/access description, monthly round reports with closed findings, electrical safety audit reports with isolation-until-repaired, unused-material identification and disposal records, and the hazardous-material inventory with spill drills or actual spill records, are retrievable.</w:t>
      </w:r>
    </w:p>
    <w:p>
      <w:pPr>
        <w:spacing w:after="120"/>
      </w:pPr>
      <w:r>
        <w:rPr>
          <w:sz w:val="22"/>
          <w:szCs w:val="22"/>
        </w:rPr>
        <w:t xml:space="preserve">The quality or accreditation coordinator audits a sample of these records at [Hospital to define — the audit interval for facility-safety records] for: inspections that touched devices rather than invoices; monthly rounds that walked clinical areas at least once a month rather than a signed register; electrical audits of the building not FMS.1.e DG tests counted twice; unused-material procedure that is not HIC.3 colours; hazardous-material identification that is not HIC.2 / MOM.8 / AAC.6 counted as this whole OE; COP.8/COP.12 care process left with those documents; and FMS.5 fire equipment left with FMS.5 except as a round finding.</w:t>
      </w:r>
    </w:p>
    <w:p>
      <w:pPr>
        <w:spacing w:after="120"/>
      </w:pPr>
      <w:r>
        <w:rPr>
          <w:sz w:val="22"/>
          <w:szCs w:val="22"/>
        </w:rPr>
        <w:t xml:space="preserve">This policy is reviewed at [Hospital to define — the review interval for this policy], and sooner when a monthly round was missed, or when FMS.1, FMS.3, FMS.4, FMS.5, HIC.2, HIC.3, AAC.6, COP.8 or COP.12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the facility operates so that patients, families, staff and visitors are safe as this document requires.
A named facilities or engineering lead holds device inspections, monthly rounds, electrical audits, unused-material records and the hazardous-material inventory as this hospital has defined those roles.
Security or administration holds the extra-security and access description where that is not the engineering lead.
FMS.1, FMS.3, FMS.4, FMS.5, HIC.2, HIC.3, AAC.6, COP.8, COP.12, MOM.8, ROM.4 and PSQ.5 remain the owning methods named in Scope.
The quality or accreditation coordinator audits the records at step 8.
All staff are expected to treat a blocked exit, an unlabelled chemical, a condemned bed in a patient bay, and a monthly register with no walk,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8 FMS, standard FMS.2.
- National Building Code of India, 2016. Bureau of Indian Standards — chapter reference 4; building, access and electrical-installation framework as the local authority has applied it; IS 732, IS 3043 and IS 2190 are NBC-pointed practice, not extra paragraph-2 statutes.
- Gudlavalleti, V. (2018). Challenges in Accessing Health Care for People with Disability in the South Asian Context: A Review. Int J Environ Res Public Health, 15(11), 2366 — chapter reference 11; disability-access framework.
- Safe Management of Wastes from Health-Care Activities (2nd ed.). World Health Organization (2014) — chapter reference 21; waste framework only; BMW colour and SPCB remain HIC.3.
- Hospital safety index: guide for evaluators – 2nd ed. World Health Organization (2015) — chapter reference 22; evaluator framework, not a mandated score.
- Aggarwal, R., et al. (2010). Technology as applied to patient safety: an overview. Qual Saf Health Care, 19(Suppl 2), i3-i8 — chapter reference 1; infrastructure framework.
- Infrastructures to improve patient safety. Health Facilities Management (2015) — chapter reference 13; framework.
- Internal documents of HMP Foundation: monthly round form; electrical audit; unused-material procedure; hazardous-material inventory; FMS.1, FMS.3, FMS.4, FMS.5; HIC.2, HIC.3; AAC.6; COP.8, COP.12; MOM.8; ROM.4; PSQ.5.</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named facilities or engineering lead and the quality or accreditation coordinator.
Copies issued to: staff who walk monthly rounds; security where extra-security areas are defined; department heads whose areas are on the circuit.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FMS.2.a — Patient-safety devices and infrastructure are installed across the organisation and inspected periodically.</w:t>
      </w:r>
    </w:p>
    <w:p>
      <w:pPr>
        <w:pStyle w:val="ListParagraph"/>
        <w:numPr>
          <w:ilvl w:val="0"/>
          <w:numId w:val="1"/>
        </w:numPr>
        <w:spacing w:after="60"/>
      </w:pPr>
      <w:r>
        <w:rPr>
          <w:sz w:val="22"/>
          <w:szCs w:val="22"/>
        </w:rPr>
        <w:t xml:space="preserve">The installed-device list and periodic inspection records showing fabric (grab rails, wet-area flooring, window restrictors, call-bell hardware) rather than a purchase invoice</w:t>
      </w:r>
    </w:p>
    <w:p>
      <w:pPr>
        <w:pStyle w:val="ListParagraph"/>
        <w:numPr>
          <w:ilvl w:val="0"/>
          <w:numId w:val="1"/>
        </w:numPr>
        <w:spacing w:after="60"/>
      </w:pPr>
      <w:r>
        <w:rPr>
          <w:sz w:val="22"/>
          <w:szCs w:val="22"/>
        </w:rPr>
        <w:t xml:space="preserve">the recorded split that FMS.5.d owns fire-equipment maintenance and COP.12 owns bedside use of rails/call</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FMS.2.b — The organisation has facilities for the differently-abled.</w:t>
      </w:r>
    </w:p>
    <w:p>
      <w:pPr>
        <w:pStyle w:val="ListParagraph"/>
        <w:numPr>
          <w:ilvl w:val="0"/>
          <w:numId w:val="1"/>
        </w:numPr>
        <w:spacing w:after="60"/>
      </w:pPr>
      <w:r>
        <w:rPr>
          <w:sz w:val="22"/>
          <w:szCs w:val="22"/>
        </w:rPr>
        <w:t xml:space="preserve">The facilities actually provided and kept unblocked</w:t>
      </w:r>
    </w:p>
    <w:p>
      <w:pPr>
        <w:pStyle w:val="ListParagraph"/>
        <w:numPr>
          <w:ilvl w:val="0"/>
          <w:numId w:val="1"/>
        </w:numPr>
        <w:spacing w:after="60"/>
      </w:pPr>
      <w:r>
        <w:rPr>
          <w:sz w:val="22"/>
          <w:szCs w:val="22"/>
        </w:rPr>
        <w:t xml:space="preserve">Gudlavalleti and NBC access used as frameworks not pasted gradients</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FMS.2.c — Operational planning identifies areas which need to have extra security and describes access to different areas in the hospital by staff, patients, and visitors.</w:t>
      </w:r>
    </w:p>
    <w:p>
      <w:pPr>
        <w:pStyle w:val="ListParagraph"/>
        <w:numPr>
          <w:ilvl w:val="0"/>
          <w:numId w:val="1"/>
        </w:numPr>
        <w:spacing w:after="60"/>
      </w:pPr>
      <w:r>
        <w:rPr>
          <w:sz w:val="22"/>
          <w:szCs w:val="22"/>
        </w:rPr>
        <w:t xml:space="preserve">The extra-security list and access description with hardware</w:t>
      </w:r>
    </w:p>
    <w:p>
      <w:pPr>
        <w:pStyle w:val="ListParagraph"/>
        <w:numPr>
          <w:ilvl w:val="0"/>
          <w:numId w:val="1"/>
        </w:numPr>
        <w:spacing w:after="60"/>
      </w:pPr>
      <w:r>
        <w:rPr>
          <w:sz w:val="22"/>
          <w:szCs w:val="22"/>
        </w:rPr>
        <w:t xml:space="preserve">the recorded split that COP.8.f/COP.12.b own care process not locks</w:t>
      </w:r>
    </w:p>
    <w:p>
      <w:pPr>
        <w:pStyle w:val="ListParagraph"/>
        <w:numPr>
          <w:ilvl w:val="0"/>
          <w:numId w:val="1"/>
        </w:numPr>
        <w:spacing w:after="60"/>
      </w:pPr>
      <w:r>
        <w:rPr>
          <w:sz w:val="22"/>
          <w:szCs w:val="22"/>
        </w:rPr>
        <w:t xml:space="preserve">PSQ.5 dual entry for a breach that is an incident</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FMS.2.d — Facility inspection rounds to ensure safety are conducted at least once a month.</w:t>
      </w:r>
    </w:p>
    <w:p>
      <w:pPr>
        <w:pStyle w:val="ListParagraph"/>
        <w:numPr>
          <w:ilvl w:val="0"/>
          <w:numId w:val="1"/>
        </w:numPr>
        <w:spacing w:after="60"/>
      </w:pPr>
      <w:r>
        <w:rPr>
          <w:sz w:val="22"/>
          <w:szCs w:val="22"/>
        </w:rPr>
        <w:t xml:space="preserve">Monthly round reports showing a walk of clinical areas at least once a month with closed findings rather than a register signed from the engineering office</w:t>
      </w:r>
    </w:p>
    <w:p>
      <w:pPr>
        <w:pStyle w:val="ListParagraph"/>
        <w:numPr>
          <w:ilvl w:val="0"/>
          <w:numId w:val="1"/>
        </w:numPr>
        <w:spacing w:after="60"/>
      </w:pPr>
      <w:r>
        <w:rPr>
          <w:sz w:val="22"/>
          <w:szCs w:val="22"/>
        </w:rPr>
        <w:t xml:space="preserve">ROM.4.a recorded as management risk duty not this method</w:t>
      </w:r>
    </w:p>
    <w:p>
      <w:pPr>
        <w:pStyle w:val="ListParagraph"/>
        <w:numPr>
          <w:ilvl w:val="0"/>
          <w:numId w:val="1"/>
        </w:numPr>
        <w:spacing w:after="60"/>
      </w:pPr>
      <w:r>
        <w:rPr>
          <w:sz w:val="22"/>
          <w:szCs w:val="22"/>
        </w:rPr>
        <w:t xml:space="preserve">PSQ.5 dual entry where harm occurred</w:t>
      </w:r>
    </w:p>
    <w:p>
      <w:pPr>
        <w:pStyle w:val="ListParagraph"/>
        <w:numPr>
          <w:ilvl w:val="0"/>
          <w:numId w:val="1"/>
        </w:numPr>
        <w:spacing w:after="60"/>
      </w:pPr>
      <w:r>
        <w:rPr>
          <w:sz w:val="22"/>
          <w:szCs w:val="22"/>
        </w:rPr>
        <w:t xml:space="preserve">the audit sample at step 8 of a month that was actually walked</w:t>
      </w:r>
    </w:p>
    <w:p>
      <w:pPr>
        <w:spacing w:after="90" w:before="200"/>
      </w:pPr>
      <w:r>
        <w:rPr>
          <w:b/>
          <w:bCs/>
          <w:sz w:val="22"/>
          <w:szCs w:val="22"/>
        </w:rPr>
        <w:t xml:space="preserve">FMS.2.e — Organisation conducts electrical safety audits for the facility.</w:t>
      </w:r>
    </w:p>
    <w:p>
      <w:pPr>
        <w:pStyle w:val="ListParagraph"/>
        <w:numPr>
          <w:ilvl w:val="0"/>
          <w:numId w:val="1"/>
        </w:numPr>
        <w:spacing w:after="60"/>
      </w:pPr>
      <w:r>
        <w:rPr>
          <w:sz w:val="22"/>
          <w:szCs w:val="22"/>
        </w:rPr>
        <w:t xml:space="preserve">Electrical safety audit reports covering earthing, residual-current protection, wet-area sockets and panel lockability at the defined interval</w:t>
      </w:r>
    </w:p>
    <w:p>
      <w:pPr>
        <w:pStyle w:val="ListParagraph"/>
        <w:numPr>
          <w:ilvl w:val="0"/>
          <w:numId w:val="1"/>
        </w:numPr>
        <w:spacing w:after="60"/>
      </w:pPr>
      <w:r>
        <w:rPr>
          <w:sz w:val="22"/>
          <w:szCs w:val="22"/>
        </w:rPr>
        <w:t xml:space="preserve">isolation-until-repaired records</w:t>
      </w:r>
    </w:p>
    <w:p>
      <w:pPr>
        <w:pStyle w:val="ListParagraph"/>
        <w:numPr>
          <w:ilvl w:val="0"/>
          <w:numId w:val="1"/>
        </w:numPr>
        <w:spacing w:after="60"/>
      </w:pPr>
      <w:r>
        <w:rPr>
          <w:sz w:val="22"/>
          <w:szCs w:val="22"/>
        </w:rPr>
        <w:t xml:space="preserve">IS 732/IS 3043 as NBC-pointed frameworks not CEA-in-P2</w:t>
      </w:r>
    </w:p>
    <w:p>
      <w:pPr>
        <w:pStyle w:val="ListParagraph"/>
        <w:numPr>
          <w:ilvl w:val="0"/>
          <w:numId w:val="1"/>
        </w:numPr>
        <w:spacing w:after="60"/>
      </w:pPr>
      <w:r>
        <w:rPr>
          <w:sz w:val="22"/>
          <w:szCs w:val="22"/>
        </w:rPr>
        <w:t xml:space="preserve">split from FMS.1.e DG tests and FMS.3 device calibration</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FMS.2.f — There is a procedure which addresses the identification and disposal of material(s) not in use in the organisation.</w:t>
      </w:r>
    </w:p>
    <w:p>
      <w:pPr>
        <w:pStyle w:val="ListParagraph"/>
        <w:numPr>
          <w:ilvl w:val="0"/>
          <w:numId w:val="1"/>
        </w:numPr>
        <w:spacing w:after="60"/>
      </w:pPr>
      <w:r>
        <w:rPr>
          <w:sz w:val="22"/>
          <w:szCs w:val="22"/>
        </w:rPr>
        <w:t xml:space="preserve">The written unused-material procedure showing identification (tag, location, date, owner), condemnation including FMS.3 strike-off when the item is equipment, quarantine so the item cannot be reused on a patient, and disposal or sale, rather than a locked store-room or a scrap handshake with no identification step</w:t>
      </w:r>
    </w:p>
    <w:p>
      <w:pPr>
        <w:pStyle w:val="ListParagraph"/>
        <w:numPr>
          <w:ilvl w:val="0"/>
          <w:numId w:val="1"/>
        </w:numPr>
        <w:spacing w:after="60"/>
      </w:pPr>
      <w:r>
        <w:rPr>
          <w:sz w:val="22"/>
          <w:szCs w:val="22"/>
        </w:rPr>
        <w:t xml:space="preserve">the recorded split that HIC.3 remains BMW colour, transport and SPCB so the four-colour clinical waste stream is not this OE, and that WHO chapter reference 21 is a waste framework only</w:t>
      </w:r>
    </w:p>
    <w:p>
      <w:pPr>
        <w:pStyle w:val="ListParagraph"/>
        <w:numPr>
          <w:ilvl w:val="0"/>
          <w:numId w:val="1"/>
        </w:numPr>
        <w:spacing w:after="60"/>
      </w:pPr>
      <w:r>
        <w:rPr>
          <w:sz w:val="22"/>
          <w:szCs w:val="22"/>
        </w:rPr>
        <w:t xml:space="preserve">sample tagged items that left the clinical floor</w:t>
      </w:r>
    </w:p>
    <w:p>
      <w:pPr>
        <w:pStyle w:val="ListParagraph"/>
        <w:numPr>
          <w:ilvl w:val="0"/>
          <w:numId w:val="1"/>
        </w:numPr>
        <w:spacing w:after="60"/>
      </w:pPr>
      <w:r>
        <w:rPr>
          <w:sz w:val="22"/>
          <w:szCs w:val="22"/>
        </w:rPr>
        <w:t xml:space="preserve">induction or briefing of staff who condemn</w:t>
      </w:r>
    </w:p>
    <w:p>
      <w:pPr>
        <w:pStyle w:val="ListParagraph"/>
        <w:numPr>
          <w:ilvl w:val="0"/>
          <w:numId w:val="1"/>
        </w:numPr>
        <w:spacing w:after="60"/>
      </w:pPr>
      <w:r>
        <w:rPr>
          <w:sz w:val="22"/>
          <w:szCs w:val="22"/>
        </w:rPr>
        <w:t xml:space="preserve">the location of the procedure</w:t>
      </w:r>
    </w:p>
    <w:p>
      <w:pPr>
        <w:pStyle w:val="ListParagraph"/>
        <w:numPr>
          <w:ilvl w:val="0"/>
          <w:numId w:val="1"/>
        </w:numPr>
        <w:spacing w:after="60"/>
      </w:pPr>
      <w:r>
        <w:rPr>
          <w:sz w:val="22"/>
          <w:szCs w:val="22"/>
        </w:rPr>
        <w:t xml:space="preserve">the audit sample at step 8 of a condemned item that was not still in a patient bay</w:t>
      </w:r>
    </w:p>
    <w:p>
      <w:pPr>
        <w:spacing w:after="90" w:before="200"/>
      </w:pPr>
      <w:r>
        <w:rPr>
          <w:b/>
          <w:bCs/>
          <w:sz w:val="22"/>
          <w:szCs w:val="22"/>
        </w:rPr>
        <w:t xml:space="preserve">FMS.2.g — Hazardous materials are identified and used safely within the organisation.</w:t>
      </w:r>
    </w:p>
    <w:p>
      <w:pPr>
        <w:pStyle w:val="ListParagraph"/>
        <w:numPr>
          <w:ilvl w:val="0"/>
          <w:numId w:val="1"/>
        </w:numPr>
        <w:spacing w:after="60"/>
      </w:pPr>
      <w:r>
        <w:rPr>
          <w:sz w:val="22"/>
          <w:szCs w:val="22"/>
        </w:rPr>
        <w:t xml:space="preserve">The hazardous-material inventory of classes this hospital actually holds (housekeeping and water-treatment chemicals, fuels, mercury if still present, engineering solvents, bulk stores) with labels, segregation, PPE and a spill method for building chemical/mercury/fuel, rather than an SDS folder in quality with an unlabelled jerry-can, or a mercury kit while a column remains in a drawer</w:t>
      </w:r>
    </w:p>
    <w:p>
      <w:pPr>
        <w:pStyle w:val="ListParagraph"/>
        <w:numPr>
          <w:ilvl w:val="0"/>
          <w:numId w:val="1"/>
        </w:numPr>
        <w:spacing w:after="60"/>
      </w:pPr>
      <w:r>
        <w:rPr>
          <w:sz w:val="22"/>
          <w:szCs w:val="22"/>
        </w:rPr>
        <w:t xml:space="preserve">recorded absences for classes not held</w:t>
      </w:r>
    </w:p>
    <w:p>
      <w:pPr>
        <w:pStyle w:val="ListParagraph"/>
        <w:numPr>
          <w:ilvl w:val="0"/>
          <w:numId w:val="1"/>
        </w:numPr>
        <w:spacing w:after="60"/>
      </w:pPr>
      <w:r>
        <w:rPr>
          <w:sz w:val="22"/>
          <w:szCs w:val="22"/>
        </w:rPr>
        <w:t xml:space="preserve">the recorded splits that HIC.2 owns blood/body-fluid spills, MOM.8 owns cytotoxic bench spills, HIC.3 owns BMW, AAC.6 owns lab-bench chemical hygiene and lab fire pointing at FMS.5, and FMS.4/ROM.2.c own cylinder/PESO questions</w:t>
      </w:r>
    </w:p>
    <w:p>
      <w:pPr>
        <w:pStyle w:val="ListParagraph"/>
        <w:numPr>
          <w:ilvl w:val="0"/>
          <w:numId w:val="1"/>
        </w:numPr>
        <w:spacing w:after="60"/>
      </w:pPr>
      <w:r>
        <w:rPr>
          <w:sz w:val="22"/>
          <w:szCs w:val="22"/>
        </w:rPr>
        <w:t xml:space="preserve">dual-entry rule</w:t>
      </w:r>
    </w:p>
    <w:p>
      <w:pPr>
        <w:pStyle w:val="ListParagraph"/>
        <w:numPr>
          <w:ilvl w:val="0"/>
          <w:numId w:val="1"/>
        </w:numPr>
        <w:spacing w:after="60"/>
      </w:pPr>
      <w:r>
        <w:rPr>
          <w:sz w:val="22"/>
          <w:szCs w:val="22"/>
        </w:rPr>
        <w:t xml:space="preserve">induction of users</w:t>
      </w:r>
    </w:p>
    <w:p>
      <w:pPr>
        <w:pStyle w:val="ListParagraph"/>
        <w:numPr>
          <w:ilvl w:val="0"/>
          <w:numId w:val="1"/>
        </w:numPr>
        <w:spacing w:after="60"/>
      </w:pPr>
      <w:r>
        <w:rPr>
          <w:sz w:val="22"/>
          <w:szCs w:val="22"/>
        </w:rPr>
        <w:t xml:space="preserve">the location of the inventory</w:t>
      </w:r>
    </w:p>
    <w:p>
      <w:pPr>
        <w:pStyle w:val="ListParagraph"/>
        <w:numPr>
          <w:ilvl w:val="0"/>
          <w:numId w:val="1"/>
        </w:numPr>
        <w:spacing w:after="60"/>
      </w:pPr>
      <w:r>
        <w:rPr>
          <w:sz w:val="22"/>
          <w:szCs w:val="22"/>
        </w:rPr>
        <w:t xml:space="preserve">the audit sample at step 8 of a labelled container at the point of use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18-08-2026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Building Code of India, 2016, insofar as the local building and fire authority has applied it to this facility for occupancy, access and electrical-installation safety.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HMP/FMS/POL-2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2026-08-18T12:51:45.167Z</dcterms:created>
  <dcterms:modified xsi:type="dcterms:W3CDTF">2026-08-18T12:51:45.167Z</dcterms:modified>
</cp:coreProperties>
</file>

<file path=docProps/custom.xml><?xml version="1.0" encoding="utf-8"?>
<Properties xmlns="http://schemas.openxmlformats.org/officeDocument/2006/custom-properties" xmlns:vt="http://schemas.openxmlformats.org/officeDocument/2006/docPropsVTypes"/>
</file>