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Key Indicators for Continual Improvement</w:t>
      </w:r>
    </w:p>
    <w:p>
      <w:pPr>
        <w:spacing w:after="300"/>
        <w:jc w:val="center"/>
      </w:pPr>
      <w:r>
        <w:rPr>
          <w:i/>
          <w:iCs/>
          <w:sz w:val="20"/>
          <w:szCs w:val="20"/>
        </w:rPr>
        <w:t xml:space="preserve">(Mandatory System Documentation as per NABH SHCO 3rd Edition — PSQ.2.a, PSQ.2.b, PSQ.2.c, PSQ.2.d, PSQ.2.e)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HMP/PSQ/POL-2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PSQ.2.a, PSQ.2.b, PSQ.2.c, PSQ.2.d, PSQ.2.e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PSQ</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PSQ.2.a</w:t>
            </w:r>
          </w:p>
        </w:tc>
        <w:tc>
          <w:tcPr>
            <w:tcW w:type="pct" w:w="45%"/>
          </w:tcPr>
          <w:p>
            <w:r>
              <w:rPr>
                <w:b w:val="false"/>
                <w:bCs w:val="false"/>
                <w:sz w:val="18"/>
                <w:szCs w:val="18"/>
              </w:rPr>
              <w:t xml:space="preserve">The organisation identifies and monitors key indicators to oversee the clinical structures, processes and outcomes.</w:t>
            </w:r>
          </w:p>
        </w:tc>
        <w:tc>
          <w:tcPr>
            <w:tcW w:type="pct" w:w="20%"/>
          </w:tcPr>
          <w:p>
            <w:r>
              <w:rPr>
                <w:b w:val="false"/>
                <w:bCs w:val="false"/>
                <w:sz w:val="18"/>
                <w:szCs w:val="18"/>
              </w:rPr>
              <w:t xml:space="preserve">Steps 1, 5, 6</w:t>
            </w:r>
          </w:p>
        </w:tc>
        <w:tc>
          <w:tcPr>
            <w:tcW w:type="pct" w:w="20%"/>
          </w:tcPr>
          <w:p>
            <w:r>
              <w:rPr>
                <w:b w:val="false"/>
                <w:bCs w:val="false"/>
                <w:sz w:val="18"/>
                <w:szCs w:val="18"/>
              </w:rPr>
              <w:t xml:space="preserve">Named lead holds the clinical list; area leads supply data; quality team verifies; quality or accreditation coordinator audits</w:t>
            </w:r>
          </w:p>
        </w:tc>
      </w:tr>
      <w:tr>
        <w:tc>
          <w:tcPr>
            <w:tcW w:type="pct" w:w="15%"/>
          </w:tcPr>
          <w:p>
            <w:r>
              <w:rPr>
                <w:b w:val="false"/>
                <w:bCs w:val="false"/>
                <w:sz w:val="18"/>
                <w:szCs w:val="18"/>
              </w:rPr>
              <w:t xml:space="preserve">PSQ.2.b</w:t>
            </w:r>
          </w:p>
        </w:tc>
        <w:tc>
          <w:tcPr>
            <w:tcW w:type="pct" w:w="45%"/>
          </w:tcPr>
          <w:p>
            <w:r>
              <w:rPr>
                <w:b w:val="false"/>
                <w:bCs w:val="false"/>
                <w:sz w:val="18"/>
                <w:szCs w:val="18"/>
              </w:rPr>
              <w:t xml:space="preserve">The organisation identifies and monitors the key indicators to oversee infection control activities.</w:t>
            </w:r>
          </w:p>
        </w:tc>
        <w:tc>
          <w:tcPr>
            <w:tcW w:type="pct" w:w="20%"/>
          </w:tcPr>
          <w:p>
            <w:r>
              <w:rPr>
                <w:b w:val="false"/>
                <w:bCs w:val="false"/>
                <w:sz w:val="18"/>
                <w:szCs w:val="18"/>
              </w:rPr>
              <w:t xml:space="preserve">Steps 2, 5, 6</w:t>
            </w:r>
          </w:p>
        </w:tc>
        <w:tc>
          <w:tcPr>
            <w:tcW w:type="pct" w:w="20%"/>
          </w:tcPr>
          <w:p>
            <w:r>
              <w:rPr>
                <w:b w:val="false"/>
                <w:bCs w:val="false"/>
                <w:sz w:val="18"/>
                <w:szCs w:val="18"/>
              </w:rPr>
              <w:t xml:space="preserve">HIC.5 owns surveillance method; this document oversees IC indicators; quality or accreditation coordinator audits</w:t>
            </w:r>
          </w:p>
        </w:tc>
      </w:tr>
      <w:tr>
        <w:tc>
          <w:tcPr>
            <w:tcW w:type="pct" w:w="15%"/>
          </w:tcPr>
          <w:p>
            <w:r>
              <w:rPr>
                <w:b w:val="false"/>
                <w:bCs w:val="false"/>
                <w:sz w:val="18"/>
                <w:szCs w:val="18"/>
              </w:rPr>
              <w:t xml:space="preserve">PSQ.2.c</w:t>
            </w:r>
          </w:p>
        </w:tc>
        <w:tc>
          <w:tcPr>
            <w:tcW w:type="pct" w:w="45%"/>
          </w:tcPr>
          <w:p>
            <w:r>
              <w:rPr>
                <w:b w:val="false"/>
                <w:bCs w:val="false"/>
                <w:sz w:val="18"/>
                <w:szCs w:val="18"/>
              </w:rPr>
              <w:t xml:space="preserve">The organisation identifies and monitors the key indicators to oversee the managerial structures, processes and outcomes.</w:t>
            </w:r>
          </w:p>
        </w:tc>
        <w:tc>
          <w:tcPr>
            <w:tcW w:type="pct" w:w="20%"/>
          </w:tcPr>
          <w:p>
            <w:r>
              <w:rPr>
                <w:b w:val="false"/>
                <w:bCs w:val="false"/>
                <w:sz w:val="18"/>
                <w:szCs w:val="18"/>
              </w:rPr>
              <w:t xml:space="preserve">Steps 3, 5, 6</w:t>
            </w:r>
          </w:p>
        </w:tc>
        <w:tc>
          <w:tcPr>
            <w:tcW w:type="pct" w:w="20%"/>
          </w:tcPr>
          <w:p>
            <w:r>
              <w:rPr>
                <w:b w:val="false"/>
                <w:bCs w:val="false"/>
                <w:sz w:val="18"/>
                <w:szCs w:val="18"/>
              </w:rPr>
              <w:t xml:space="preserve">Named lead holds the managerial list; ROM/FMS remain those chapters; quality or accreditation coordinator audits</w:t>
            </w:r>
          </w:p>
        </w:tc>
      </w:tr>
      <w:tr>
        <w:tc>
          <w:tcPr>
            <w:tcW w:type="pct" w:w="15%"/>
          </w:tcPr>
          <w:p>
            <w:r>
              <w:rPr>
                <w:b w:val="false"/>
                <w:bCs w:val="false"/>
                <w:sz w:val="18"/>
                <w:szCs w:val="18"/>
              </w:rPr>
              <w:t xml:space="preserve">PSQ.2.d</w:t>
            </w:r>
          </w:p>
        </w:tc>
        <w:tc>
          <w:tcPr>
            <w:tcW w:type="pct" w:w="45%"/>
          </w:tcPr>
          <w:p>
            <w:r>
              <w:rPr>
                <w:b w:val="false"/>
                <w:bCs w:val="false"/>
                <w:sz w:val="18"/>
                <w:szCs w:val="18"/>
              </w:rPr>
              <w:t xml:space="preserve">The organisation identifies and monitors the key indicators to oversee patient safety activities.</w:t>
            </w:r>
          </w:p>
        </w:tc>
        <w:tc>
          <w:tcPr>
            <w:tcW w:type="pct" w:w="20%"/>
          </w:tcPr>
          <w:p>
            <w:r>
              <w:rPr>
                <w:b w:val="false"/>
                <w:bCs w:val="false"/>
                <w:sz w:val="18"/>
                <w:szCs w:val="18"/>
              </w:rPr>
              <w:t xml:space="preserve">Steps 4, 5, 6</w:t>
            </w:r>
          </w:p>
        </w:tc>
        <w:tc>
          <w:tcPr>
            <w:tcW w:type="pct" w:w="20%"/>
          </w:tcPr>
          <w:p>
            <w:r>
              <w:rPr>
                <w:b w:val="false"/>
                <w:bCs w:val="false"/>
                <w:sz w:val="18"/>
                <w:szCs w:val="18"/>
              </w:rPr>
              <w:t xml:space="preserve">Named lead holds the patient-safety list; owning clinical documents remain; quality or accreditation coordinator audits</w:t>
            </w:r>
          </w:p>
        </w:tc>
      </w:tr>
      <w:tr>
        <w:tc>
          <w:tcPr>
            <w:tcW w:type="pct" w:w="15%"/>
          </w:tcPr>
          <w:p>
            <w:r>
              <w:rPr>
                <w:b w:val="false"/>
                <w:bCs w:val="false"/>
                <w:sz w:val="18"/>
                <w:szCs w:val="18"/>
              </w:rPr>
              <w:t xml:space="preserve">PSQ.2.e</w:t>
            </w:r>
          </w:p>
        </w:tc>
        <w:tc>
          <w:tcPr>
            <w:tcW w:type="pct" w:w="45%"/>
          </w:tcPr>
          <w:p>
            <w:r>
              <w:rPr>
                <w:b w:val="false"/>
                <w:bCs w:val="false"/>
                <w:sz w:val="18"/>
                <w:szCs w:val="18"/>
              </w:rPr>
              <w:t xml:space="preserve">Data is regularly verified by the quality team and is analysed to identify the opportunities for improvement.</w:t>
            </w:r>
          </w:p>
        </w:tc>
        <w:tc>
          <w:tcPr>
            <w:tcW w:type="pct" w:w="20%"/>
          </w:tcPr>
          <w:p>
            <w:r>
              <w:rPr>
                <w:b w:val="false"/>
                <w:bCs w:val="false"/>
                <w:sz w:val="18"/>
                <w:szCs w:val="18"/>
              </w:rPr>
              <w:t xml:space="preserve">Steps 5, 1, 6</w:t>
            </w:r>
          </w:p>
        </w:tc>
        <w:tc>
          <w:tcPr>
            <w:tcW w:type="pct" w:w="20%"/>
          </w:tcPr>
          <w:p>
            <w:r>
              <w:rPr>
                <w:b w:val="false"/>
                <w:bCs w:val="false"/>
                <w:sz w:val="18"/>
                <w:szCs w:val="18"/>
              </w:rPr>
              <w:t xml:space="preserve">Quality team verifies and analyses; PSQ.1 receives opportunities;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PSQ</w:t>
            </w:r>
          </w:p>
        </w:tc>
        <w:tc>
          <w:tcPr>
            <w:tcW w:type="pct" w:w="75%"/>
          </w:tcPr>
          <w:p>
            <w:r>
              <w:rPr>
                <w:b w:val="false"/>
                <w:bCs w:val="false"/>
                <w:sz w:val="18"/>
                <w:szCs w:val="18"/>
              </w:rPr>
              <w:t xml:space="preserve">Patient Safety and Quality Improvement (SHCO 3rd Edition Chapter 6; not CQI)</w:t>
            </w:r>
          </w:p>
        </w:tc>
      </w:tr>
      <w:tr>
        <w:tc>
          <w:tcPr>
            <w:tcW w:type="pct" w:w="25%"/>
          </w:tcPr>
          <w:p>
            <w:r>
              <w:rPr>
                <w:b w:val="false"/>
                <w:bCs w:val="false"/>
                <w:sz w:val="18"/>
                <w:szCs w:val="18"/>
              </w:rPr>
              <w:t xml:space="preserve">KPI</w:t>
            </w:r>
          </w:p>
        </w:tc>
        <w:tc>
          <w:tcPr>
            <w:tcW w:type="pct" w:w="75%"/>
          </w:tcPr>
          <w:p>
            <w:r>
              <w:rPr>
                <w:b w:val="false"/>
                <w:bCs w:val="false"/>
                <w:sz w:val="18"/>
                <w:szCs w:val="18"/>
              </w:rPr>
              <w:t xml:space="preserve">key performance indicator</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PPE and HAI.</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identifies and monitors key indicators to oversee clinical structures, processes and outcomes; infection-control activities; managerial structures, processes and outcomes; and patient-safety activities; and how the quality team regularly verifies that data and analyses it to identify opportunities for improvement.
The chapter intent is that the organisation collects data on structures, processes and outcomes, especially in high-risk situations, then collates, analyses and uses it for further improvements. A dashboard copied from Annexure 1 that nobody verifies, or infection rates redefined beside HIC.5, is not that intent.
This document is hospital-wide indicator identification, monitoring, verification and analysis. It is not HAI surveillance method, unit QA, or the safety/QI programmes that use the findings.</w:t>
      </w:r>
    </w:p>
    <w:p>
      <w:pPr>
        <w:pStyle w:val="Heading1"/>
        <w:spacing w:after="150" w:before="300"/>
      </w:pPr>
      <w:r>
        <w:t xml:space="preserve">2. Scope</w:t>
      </w:r>
    </w:p>
    <w:p>
      <w:pPr>
        <w:spacing w:after="150"/>
      </w:pPr>
      <w:r>
        <w:rPr>
          <w:sz w:val="22"/>
          <w:szCs w:val="22"/>
        </w:rPr>
        <w:t xml:space="preserve">This policy applies to the quality team and to every area that supplies indicator data at HMP Foundation.
It covers: clinical structure/process/outcome indicators; infection-control activity indicators; managerial structure/process/outcome indicators; patient-safety activity indicators; and regular verification and analysis by the quality team.
Boundaries with other policies of HMP Foundation:
- The patient-safety and QI programmes that use these indicators are PSQ.1. This document owns the indicators. PSQ.1 owns the programmes.
- Clinical audit parameters are PSQ.3.b. An audit parameter is not by itself a key indicator under this document, though data may overlap.
- HAI surveillance method (definitions, device-days, rates) is HIC.5. Hand-hygiene and bundle process measures are HIC.2/HIC.4. PSQ.2.b oversees infection-control activities as quality indicators. It may use HIC.5/HIC.4 figures as inputs. It does not invent a second case-definition book. Historical HIC.1/HIC.3 text that assigned surveillance method to "CQI" is a 2nd Edition name; do not revive it here.
- Falls, pressure ulcers and similar clinical risk programmes are COP.12. Patient-safety indicators here (PSQ.2.d) may include those rates; COP.12 still owns identification and management at the bedside.
- Medication-error incidence as a clinical/safety indicator may use MOM.7 capture. MOM.7 still captures the event.
- Transfusion-reaction figures, if used, come from COP.5; this document does not own the transfusion process.
- Waiting-time and discharge-time indicators, if used, do not rewrite AAC.2 registration or AAC.8 discharge method.
- Annexure 1 of the same 3rd Edition book lists Key Performance Indicators. It is a framework for what NABH publishes as KPIs. This hospital identifies its own key indicators; the annexure is not pasted as a mandated set, and unused services (for example ICU SMR where there is no ICU) are recorded absences against AAC.1.
- ROM/FMS managerial indicators (budget, occupancy, equipment downtime) remain those chapters when drafted; this document oversees managerial indicators as quality tools, not the finance ledger.
- This chapter is PSQ, not CQI.</w:t>
      </w:r>
    </w:p>
    <w:p>
      <w:pPr>
        <w:pStyle w:val="Heading1"/>
        <w:spacing w:after="150" w:before="300"/>
      </w:pPr>
      <w:r>
        <w:t xml:space="preserve">3. Policy Statement</w:t>
      </w:r>
    </w:p>
    <w:p>
      <w:pPr>
        <w:spacing w:after="150"/>
      </w:pPr>
      <w:r>
        <w:rPr>
          <w:sz w:val="22"/>
          <w:szCs w:val="22"/>
        </w:rPr>
        <w:t xml:space="preserve">HMP Foundation identifies and monitors key indicators for clinical structures, processes and outcomes; infection-control activities; managerial structures, processes and outcomes; and patient-safety activities.
HMP Foundation requires the quality team to verify that data regularly and to analyse it to identify opportunities for improvement.
HMP Foundation does not treat an unverified copy of Annexure 1, or a second HAI case-definition book, as that monitoring.</w:t>
      </w:r>
    </w:p>
    <w:p>
      <w:pPr>
        <w:pStyle w:val="Heading1"/>
        <w:spacing w:after="150" w:before="300"/>
      </w:pPr>
      <w:r>
        <w:t xml:space="preserve">4. Procedure</w:t>
      </w:r>
    </w:p>
    <w:p>
      <w:pPr>
        <w:spacing w:after="90" w:before="240"/>
      </w:pPr>
      <w:r>
        <w:rPr>
          <w:b/>
          <w:bCs/>
          <w:sz w:val="23"/>
          <w:szCs w:val="23"/>
        </w:rPr>
        <w:t xml:space="preserve">1. Clinical structure, process and outcome indicators (PSQ.2.a, PSQ.2.e)</w:t>
      </w:r>
    </w:p>
    <w:p>
      <w:pPr>
        <w:spacing w:after="120"/>
      </w:pPr>
      <w:r>
        <w:rPr>
          <w:sz w:val="22"/>
          <w:szCs w:val="22"/>
        </w:rPr>
        <w:t xml:space="preserve">The organisation identifies and monitors key indicators to oversee the clinical structures, processes and outcomes.</w:t>
      </w:r>
    </w:p>
    <w:p>
      <w:pPr>
        <w:spacing w:after="120"/>
      </w:pPr>
      <w:r>
        <w:rPr>
          <w:sz w:val="22"/>
          <w:szCs w:val="22"/>
        </w:rPr>
        <w:t xml:space="preserve">Which clinical indicators this hospital monitors, how they are collected, and the monitoring interval, are [Hospital to define — the key clinical structure, process and outcome indicators, how they are collected, and the monitoring interval]. Donabedian (chapter reference 6) is the book's own structure-process-outcome frame; it is not a mandated indicator list. Annexure 1 of this edition is a framework. A service not provided is a recorded absence, not a copied ICU mortality ratio.</w:t>
      </w:r>
    </w:p>
    <w:p>
      <w:pPr>
        <w:spacing w:after="90" w:before="240"/>
      </w:pPr>
      <w:r>
        <w:rPr>
          <w:b/>
          <w:bCs/>
          <w:sz w:val="23"/>
          <w:szCs w:val="23"/>
        </w:rPr>
        <w:t xml:space="preserve">2. Infection-control activity indicators (PSQ.2.b)</w:t>
      </w:r>
    </w:p>
    <w:p>
      <w:pPr>
        <w:spacing w:after="120"/>
      </w:pPr>
      <w:r>
        <w:rPr>
          <w:sz w:val="22"/>
          <w:szCs w:val="22"/>
        </w:rPr>
        <w:t xml:space="preserve">The organisation identifies and monitors the key indicators to oversee infection control activities.</w:t>
      </w:r>
    </w:p>
    <w:p>
      <w:pPr>
        <w:spacing w:after="120"/>
      </w:pPr>
      <w:r>
        <w:rPr>
          <w:sz w:val="22"/>
          <w:szCs w:val="22"/>
        </w:rPr>
        <w:t xml:space="preserve">Which infection-control indicators are monitored, and how they use (not replace) HIC.5 surveillance and HIC.4 bundle-compliance figures, are [Hospital to define — the key indicators used to oversee infection-control activities, and how they take HIC.5/HIC.4 figures as inputs rather than redefining case definitions]. This step does not write NHSN definitions.</w:t>
      </w:r>
    </w:p>
    <w:p>
      <w:pPr>
        <w:spacing w:after="90" w:before="240"/>
      </w:pPr>
      <w:r>
        <w:rPr>
          <w:b/>
          <w:bCs/>
          <w:sz w:val="23"/>
          <w:szCs w:val="23"/>
        </w:rPr>
        <w:t xml:space="preserve">3. Managerial structure, process and outcome indicators (PSQ.2.c)</w:t>
      </w:r>
    </w:p>
    <w:p>
      <w:pPr>
        <w:spacing w:after="120"/>
      </w:pPr>
      <w:r>
        <w:rPr>
          <w:sz w:val="22"/>
          <w:szCs w:val="22"/>
        </w:rPr>
        <w:t xml:space="preserve">The organisation identifies and monitors the key indicators to oversee the managerial structures, processes and outcomes.</w:t>
      </w:r>
    </w:p>
    <w:p>
      <w:pPr>
        <w:spacing w:after="120"/>
      </w:pPr>
      <w:r>
        <w:rPr>
          <w:sz w:val="22"/>
          <w:szCs w:val="22"/>
        </w:rPr>
        <w:t xml:space="preserve">Which managerial indicators are monitored is [Hospital to define — the key managerial structure, process and outcome indicators, how they are collected, and the monitoring interval]. The finance ledger and facility registers remain ROM/FMS when drafted.</w:t>
      </w:r>
    </w:p>
    <w:p>
      <w:pPr>
        <w:spacing w:after="90" w:before="240"/>
      </w:pPr>
      <w:r>
        <w:rPr>
          <w:b/>
          <w:bCs/>
          <w:sz w:val="23"/>
          <w:szCs w:val="23"/>
        </w:rPr>
        <w:t xml:space="preserve">4. Patient-safety activity indicators (PSQ.2.d)</w:t>
      </w:r>
    </w:p>
    <w:p>
      <w:pPr>
        <w:spacing w:after="120"/>
      </w:pPr>
      <w:r>
        <w:rPr>
          <w:sz w:val="22"/>
          <w:szCs w:val="22"/>
        </w:rPr>
        <w:t xml:space="preserve">The organisation identifies and monitors the key indicators to oversee patient safety activities.</w:t>
      </w:r>
    </w:p>
    <w:p>
      <w:pPr>
        <w:spacing w:after="120"/>
      </w:pPr>
      <w:r>
        <w:rPr>
          <w:sz w:val="22"/>
          <w:szCs w:val="22"/>
        </w:rPr>
        <w:t xml:space="preserve">Which patient-safety indicators are monitored is [Hospital to define — the key indicators used to oversee patient-safety activities, how they are collected, and the monitoring interval]. Falls and pressure-ulcer rates, if used, still leave identification and management with COP.12. Medication-error rates, if used, still leave capture with MOM.7. Needlestick figures, if used, still leave occupational method with HIC.4.</w:t>
      </w:r>
    </w:p>
    <w:p>
      <w:pPr>
        <w:spacing w:after="90" w:before="240"/>
      </w:pPr>
      <w:r>
        <w:rPr>
          <w:b/>
          <w:bCs/>
          <w:sz w:val="23"/>
          <w:szCs w:val="23"/>
        </w:rPr>
        <w:t xml:space="preserve">5. Verification and analysis by the quality team (PSQ.2.a, PSQ.2.b, PSQ.2.c, PSQ.2.d, PSQ.2.e)</w:t>
      </w:r>
    </w:p>
    <w:p>
      <w:pPr>
        <w:spacing w:after="120"/>
      </w:pPr>
      <w:r>
        <w:rPr>
          <w:sz w:val="22"/>
          <w:szCs w:val="22"/>
        </w:rPr>
        <w:t xml:space="preserve">Data is regularly verified by the quality team and is analysed to identify the opportunities for improvement.</w:t>
      </w:r>
    </w:p>
    <w:p>
      <w:pPr>
        <w:spacing w:after="120"/>
      </w:pPr>
      <w:r>
        <w:rPr>
          <w:sz w:val="22"/>
          <w:szCs w:val="22"/>
        </w:rPr>
        <w:t xml:space="preserve">How the quality team verifies (completeness, definitions used, sample checks) and analyses, the regular interval, and how opportunities are handed to PSQ.1 reviews, are [Hospital to define — how the quality team regularly verifies indicator data, how it is analysed, and how opportunities for improvement are recorded]. Unverified dashboard numbers are not this OE. Dimick (chapter reference 5) and Jones et al. (chapter reference 18) are frameworks for what makes a good indicator, not pasted selection tools.</w:t>
      </w:r>
    </w:p>
    <w:p>
      <w:pPr>
        <w:spacing w:after="90" w:before="240"/>
      </w:pPr>
      <w:r>
        <w:rPr>
          <w:b/>
          <w:bCs/>
          <w:sz w:val="23"/>
          <w:szCs w:val="23"/>
        </w:rPr>
        <w:t xml:space="preserve">6. Records, review and the order of operations (PSQ.2.a, PSQ.2.b, PSQ.2.c, PSQ.2.d, PSQ.2.e)</w:t>
      </w:r>
    </w:p>
    <w:p>
      <w:pPr>
        <w:spacing w:after="120"/>
      </w:pPr>
      <w:r>
        <w:rPr>
          <w:sz w:val="22"/>
          <w:szCs w:val="22"/>
        </w:rPr>
        <w:t xml:space="preserve">The indicator lists, collection methods, verification records and analysis that produced opportunities, are retrievable.</w:t>
      </w:r>
    </w:p>
    <w:p>
      <w:pPr>
        <w:spacing w:after="120"/>
      </w:pPr>
      <w:r>
        <w:rPr>
          <w:sz w:val="22"/>
          <w:szCs w:val="22"/>
        </w:rPr>
        <w:t xml:space="preserve">The quality or accreditation coordinator audits a sample of these records at [Hospital to define — the audit interval for key-indicator records] for: clinical, IC, managerial and patient-safety indicators actually monitored; unused-service absences recorded; HIC.5 not rewritten; data verified and analysed; and no Annexure 1 paste offered as the hospital's identified set.</w:t>
      </w:r>
    </w:p>
    <w:p>
      <w:pPr>
        <w:spacing w:after="120"/>
      </w:pPr>
      <w:r>
        <w:rPr>
          <w:sz w:val="22"/>
          <w:szCs w:val="22"/>
        </w:rPr>
        <w:t xml:space="preserve">This policy is reviewed at [Hospital to define — the review interval for this policy], and sooner when an unverified dashboard was used for a decision, or HAI definitions were rewritten here, or when PSQ.1, HIC.5, COP.12 or MOM.7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identifying and monitoring these key indicators and for the quality team verifying and analysing the data.
The quality team verifies and analyses at step 5. Area leads supply source data. HIC.5 still owns surveillance method. COP.12 and MOM.7 still own their clinical capture.
The named lead for key indicators is [Hospital to define — the named lead for key indicators].
The quality or accreditation coordinator audits the records at step 6 and reports findings to the head of the institution.</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6 PSQ, standard PSQ.2, and Annexure 1 Key Performance Indicators as a framework, not a mandated paste.
- Donabedian, A. (1983). Quality Assessment and Monitoring — chapter reference 6; structure-process-outcome frame.
- Dimick, J. B. (2010). What Makes a "Good" Quality Indicator? — chapter reference 5; framework.
- Jones, P., et al. (2014). What makes a good healthcare quality indicator? — chapter reference 18; framework.
- Internal documents of HMP Foundation: the four indicator lists and collection methods; verification and analysis records; the patient-safety and QI programmes; HIC.5 surveillance; COP.12; MOM.7.</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quality team; HIC; nursing administration; and area leads who supply data.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PSQ.2.a — The organisation identifies and monitors key indicators to oversee the clinical structures, processes and outcomes.</w:t>
      </w:r>
    </w:p>
    <w:p>
      <w:pPr>
        <w:pStyle w:val="ListParagraph"/>
        <w:numPr>
          <w:ilvl w:val="0"/>
          <w:numId w:val="1"/>
        </w:numPr>
        <w:spacing w:after="60"/>
      </w:pPr>
      <w:r>
        <w:rPr>
          <w:sz w:val="22"/>
          <w:szCs w:val="22"/>
        </w:rPr>
        <w:t xml:space="preserve">The written clinical indicator list and collection method, with recorded absences for services not provided</w:t>
      </w:r>
    </w:p>
    <w:p>
      <w:pPr>
        <w:pStyle w:val="ListParagraph"/>
        <w:numPr>
          <w:ilvl w:val="0"/>
          <w:numId w:val="1"/>
        </w:numPr>
        <w:spacing w:after="60"/>
      </w:pPr>
      <w:r>
        <w:rPr>
          <w:sz w:val="22"/>
          <w:szCs w:val="22"/>
        </w:rPr>
        <w:t xml:space="preserve">sample monitoring records</w:t>
      </w:r>
    </w:p>
    <w:p>
      <w:pPr>
        <w:pStyle w:val="ListParagraph"/>
        <w:numPr>
          <w:ilvl w:val="0"/>
          <w:numId w:val="1"/>
        </w:numPr>
        <w:spacing w:after="60"/>
      </w:pPr>
      <w:r>
        <w:rPr>
          <w:sz w:val="22"/>
          <w:szCs w:val="22"/>
        </w:rPr>
        <w:t xml:space="preserve">Donabedian used as a frame not a paste</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PSQ.2.b — The organisation identifies and monitors the key indicators to oversee infection control activities.</w:t>
      </w:r>
    </w:p>
    <w:p>
      <w:pPr>
        <w:pStyle w:val="ListParagraph"/>
        <w:numPr>
          <w:ilvl w:val="0"/>
          <w:numId w:val="1"/>
        </w:numPr>
        <w:spacing w:after="60"/>
      </w:pPr>
      <w:r>
        <w:rPr>
          <w:sz w:val="22"/>
          <w:szCs w:val="22"/>
        </w:rPr>
        <w:t xml:space="preserve">The written IC-indicator list showing HIC.5/HIC.4 figures used as inputs rather than a second case-definition book</w:t>
      </w:r>
    </w:p>
    <w:p>
      <w:pPr>
        <w:pStyle w:val="ListParagraph"/>
        <w:numPr>
          <w:ilvl w:val="0"/>
          <w:numId w:val="1"/>
        </w:numPr>
        <w:spacing w:after="60"/>
      </w:pPr>
      <w:r>
        <w:rPr>
          <w:sz w:val="22"/>
          <w:szCs w:val="22"/>
        </w:rPr>
        <w:t xml:space="preserve">sample monitoring</w:t>
      </w:r>
    </w:p>
    <w:p>
      <w:pPr>
        <w:pStyle w:val="ListParagraph"/>
        <w:numPr>
          <w:ilvl w:val="0"/>
          <w:numId w:val="1"/>
        </w:numPr>
        <w:spacing w:after="60"/>
      </w:pPr>
      <w:r>
        <w:rPr>
          <w:sz w:val="22"/>
          <w:szCs w:val="22"/>
        </w:rPr>
        <w:t xml:space="preserve">the recorded refusal to revive a 'CQI owns surveillance' assignment</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PSQ.2.c — The organisation identifies and monitors the key indicators to oversee the managerial structures, processes and outcomes.</w:t>
      </w:r>
    </w:p>
    <w:p>
      <w:pPr>
        <w:pStyle w:val="ListParagraph"/>
        <w:numPr>
          <w:ilvl w:val="0"/>
          <w:numId w:val="1"/>
        </w:numPr>
        <w:spacing w:after="60"/>
      </w:pPr>
      <w:r>
        <w:rPr>
          <w:sz w:val="22"/>
          <w:szCs w:val="22"/>
        </w:rPr>
        <w:t xml:space="preserve">The written managerial indicator list</w:t>
      </w:r>
    </w:p>
    <w:p>
      <w:pPr>
        <w:pStyle w:val="ListParagraph"/>
        <w:numPr>
          <w:ilvl w:val="0"/>
          <w:numId w:val="1"/>
        </w:numPr>
        <w:spacing w:after="60"/>
      </w:pPr>
      <w:r>
        <w:rPr>
          <w:sz w:val="22"/>
          <w:szCs w:val="22"/>
        </w:rPr>
        <w:t xml:space="preserve">the recorded split that ROM/FMS own the ledger and facility registers when drafted</w:t>
      </w:r>
    </w:p>
    <w:p>
      <w:pPr>
        <w:pStyle w:val="ListParagraph"/>
        <w:numPr>
          <w:ilvl w:val="0"/>
          <w:numId w:val="1"/>
        </w:numPr>
        <w:spacing w:after="60"/>
      </w:pPr>
      <w:r>
        <w:rPr>
          <w:sz w:val="22"/>
          <w:szCs w:val="22"/>
        </w:rPr>
        <w:t xml:space="preserve">sample monitoring</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PSQ.2.d — The organisation identifies and monitors the key indicators to oversee patient safety activities.</w:t>
      </w:r>
    </w:p>
    <w:p>
      <w:pPr>
        <w:pStyle w:val="ListParagraph"/>
        <w:numPr>
          <w:ilvl w:val="0"/>
          <w:numId w:val="1"/>
        </w:numPr>
        <w:spacing w:after="60"/>
      </w:pPr>
      <w:r>
        <w:rPr>
          <w:sz w:val="22"/>
          <w:szCs w:val="22"/>
        </w:rPr>
        <w:t xml:space="preserve">The written patient-safety indicator list</w:t>
      </w:r>
    </w:p>
    <w:p>
      <w:pPr>
        <w:pStyle w:val="ListParagraph"/>
        <w:numPr>
          <w:ilvl w:val="0"/>
          <w:numId w:val="1"/>
        </w:numPr>
        <w:spacing w:after="60"/>
      </w:pPr>
      <w:r>
        <w:rPr>
          <w:sz w:val="22"/>
          <w:szCs w:val="22"/>
        </w:rPr>
        <w:t xml:space="preserve">the recorded splits that COP.12, MOM.7 and HIC.4 still own bedside/capture/occupational method</w:t>
      </w:r>
    </w:p>
    <w:p>
      <w:pPr>
        <w:pStyle w:val="ListParagraph"/>
        <w:numPr>
          <w:ilvl w:val="0"/>
          <w:numId w:val="1"/>
        </w:numPr>
        <w:spacing w:after="60"/>
      </w:pPr>
      <w:r>
        <w:rPr>
          <w:sz w:val="22"/>
          <w:szCs w:val="22"/>
        </w:rPr>
        <w:t xml:space="preserve">sample monitoring</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PSQ.2.e — Data is regularly verified by the quality team and is analysed to identify the opportunities for improvement.</w:t>
      </w:r>
    </w:p>
    <w:p>
      <w:pPr>
        <w:pStyle w:val="ListParagraph"/>
        <w:numPr>
          <w:ilvl w:val="0"/>
          <w:numId w:val="1"/>
        </w:numPr>
        <w:spacing w:after="60"/>
      </w:pPr>
      <w:r>
        <w:rPr>
          <w:sz w:val="22"/>
          <w:szCs w:val="22"/>
        </w:rPr>
        <w:t xml:space="preserve">The written verification and analysis method and regular interval</w:t>
      </w:r>
    </w:p>
    <w:p>
      <w:pPr>
        <w:pStyle w:val="ListParagraph"/>
        <w:numPr>
          <w:ilvl w:val="0"/>
          <w:numId w:val="1"/>
        </w:numPr>
        <w:spacing w:after="60"/>
      </w:pPr>
      <w:r>
        <w:rPr>
          <w:sz w:val="22"/>
          <w:szCs w:val="22"/>
        </w:rPr>
        <w:t xml:space="preserve">sample verified datasets and analyses that produced opportunities handed to PSQ.1</w:t>
      </w:r>
    </w:p>
    <w:p>
      <w:pPr>
        <w:pStyle w:val="ListParagraph"/>
        <w:numPr>
          <w:ilvl w:val="0"/>
          <w:numId w:val="1"/>
        </w:numPr>
        <w:spacing w:after="60"/>
      </w:pPr>
      <w:r>
        <w:rPr>
          <w:sz w:val="22"/>
          <w:szCs w:val="22"/>
        </w:rPr>
        <w:t xml:space="preserve">the audit sample at step 6 of verified rather than dashboard-only data</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HMP/PSQ/POL-2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2026-08-17T15:15:15.297Z</dcterms:created>
  <dcterms:modified xsi:type="dcterms:W3CDTF">2026-08-17T15:15:15.297Z</dcterms:modified>
</cp:coreProperties>
</file>

<file path=docProps/custom.xml><?xml version="1.0" encoding="utf-8"?>
<Properties xmlns="http://schemas.openxmlformats.org/officeDocument/2006/custom-properties" xmlns:vt="http://schemas.openxmlformats.org/officeDocument/2006/docPropsVTypes"/>
</file>