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Organ Transplant Regulatory Compliance and Counselling</w:t>
      </w:r>
    </w:p>
    <w:p>
      <w:r>
        <w:t>«Hospital Name» — Supports COP.15.a, COP.15.c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keeps its transplant programme compliant with the Transplantation of Human Organs Act, and ensures every donor/recipient is properly counselled before proceeding.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keeps its transplant programme compliant with the Transplantation of Human Organs Act, and ensures every donor/recipient is properly counselled before proceeding.</w:t>
      </w:r>
    </w:p>
    <w:p>
      <w:pPr>
        <w:pStyle w:val="Heading1"/>
      </w:pPr>
      <w:r>
        <w:t>2. Scope</w:t>
      </w:r>
    </w:p>
    <w:p>
      <w:r>
        <w:t>Applies to every organ transplant case managed at the hospital.</w:t>
      </w:r>
    </w:p>
    <w:p>
      <w:pPr>
        <w:pStyle w:val="Heading1"/>
      </w:pPr>
      <w:r>
        <w:t>3. Responsibility</w:t>
      </w:r>
    </w:p>
    <w:p>
      <w:r>
        <w:t xml:space="preserve">Transplant Coordinator: </w:t>
      </w:r>
      <w:r>
        <w:t>verifies regulatory compliance for every case and conducts or arranges counselling.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transplant performed without a current licence, or without every professional's authority confirmed, is both a patient-safety and a legal exposure the hospital can't undo after the fact.</w:t>
      </w:r>
    </w:p>
    <w:p>
      <w:r>
        <w:t>1. Confirm the hospital's transplant licence for the relevant organ is current before proceeding with any case.</w:t>
      </w:r>
    </w:p>
    <w:p>
      <w:r>
        <w:t>2. Confirm every participating medical professional holds the authority required under the Transplantation of Human Organs Act for their role in the case.</w:t>
      </w:r>
    </w:p>
    <w:p>
      <w:r>
        <w:t>3. Counsel the donor and/or recipient in the statutory format, before transplantation — never after.</w:t>
      </w:r>
    </w:p>
    <w:p>
      <w:r>
        <w:t>4. Counselling covers, at minimum, all of the following [Hospital to define: confirm this against the current Transplantation of Human Organs Act and Rules, and use the prescribed consent form]:</w:t>
      </w:r>
    </w:p>
    <w:p>
      <w:r>
        <w:t xml:space="preserve">    a. The medical and surgical risks.</w:t>
      </w:r>
    </w:p>
    <w:p>
      <w:r>
        <w:t xml:space="preserve">    b. The right to decline without any effect on future care.</w:t>
      </w:r>
    </w:p>
    <w:p>
      <w:r>
        <w:t xml:space="preserve">    c. The voluntary and non-commercial nature of donation.</w:t>
      </w:r>
    </w:p>
    <w:p>
      <w:r>
        <w:t xml:space="preserve">    d. Alternatives to transplantation.</w:t>
      </w:r>
    </w:p>
    <w:p>
      <w:r>
        <w:t>5. Where the donor is declared brain-dead, counsel the family per the hospital's process, and document it separately from routine pre-transplant counselling.</w:t>
      </w:r>
    </w:p>
    <w:p>
      <w:r>
        <w:t>6. Submit programme reports to the appropriate authorities within the timeframe the Act requires.</w:t>
      </w:r>
    </w:p>
    <w:p>
      <w:r>
        <w:t>7. Stop-Work Authority</w:t>
      </w:r>
    </w:p>
    <w:p>
      <w:r>
        <w:t>8. Do not proceed with any donor or recipient step — evaluation, counselling, or the procedure itself — if the hospital's transplant licence for that organ is not current, or if any participating professional's statutory authorisation under the Act is not current.</w:t>
      </w:r>
    </w:p>
    <w:p>
      <w:r>
        <w:t>9. The Transplant Coordinator tells the Medical Superintendent immediately if a licence or authorisation gap is found. Raising a compliance gap before proceeding is never a disciplinary matter.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Government of India, Ministry of Health and Family Welfare. (1994, amended 2011). The Transplantation of Human Organs Act, 1994; and Transplantation of Human Organs and Tissues Rules, 2014.</w:t>
        </w:r>
      </w:hyperlink>
    </w:p>
    <w:p>
      <w:pPr>
        <w:pStyle w:val="Heading1"/>
      </w:pPr>
      <w:r>
        <w:t>5. Records</w:t>
      </w:r>
    </w:p>
    <w:p>
      <w:r>
        <w:t>Supported by all 7 records in the COP.15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Organ Transplant Programme (HCO/COP/POL/15) — COP.15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WHO Guiding Principles on Human Cell, Tissue and Organ Transplantation (2010)</w:t>
        </w:r>
      </w:hyperlink>
    </w:p>
    <w:p>
      <w:pPr>
        <w:pStyle w:val="Heading1"/>
      </w:pPr>
      <w:r>
        <w:t>8. Review</w:t>
      </w:r>
    </w:p>
    <w:p>
      <w:r>
        <w:t>Reviewed annually, and immediately after any regulatory finding or licence renewal.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in.mohfw.gov.in/acts-rules-and-standards-health-sector/acts/transplantation-human-organs-acts-and-rules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pubmed.ncbi.nlm.nih.gov/2123503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