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DVT Risk Assessment and Prophylaxis</w:t>
      </w:r>
    </w:p>
    <w:p>
      <w:r>
        <w:t>«Hospital Name» — Supports COP.16.d (Stop-Work)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identifies patients at risk of deep vein thrombosis and manages that risk using a validated assessment tool.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identifies patients at risk of deep vein thrombosis and manages that risk using a validated assessment tool.</w:t>
      </w:r>
    </w:p>
    <w:p>
      <w:pPr>
        <w:pStyle w:val="Heading1"/>
      </w:pPr>
      <w:r>
        <w:t>2. Scope</w:t>
      </w:r>
    </w:p>
    <w:p>
      <w:r>
        <w:t>Applies to every in-patient at admission, and every surgical patient pre-operatively.</w:t>
      </w:r>
    </w:p>
    <w:p>
      <w:pPr>
        <w:pStyle w:val="Heading1"/>
      </w:pPr>
      <w:r>
        <w:t>3. Responsibility</w:t>
      </w:r>
    </w:p>
    <w:p>
      <w:r>
        <w:t xml:space="preserve">Admitting Doctor / Ward Nurse: </w:t>
      </w:r>
      <w:r>
        <w:t>completes the DVT-risk assessment and implements the resulting management plan.</w:t>
      </w:r>
    </w:p>
    <w:p>
      <w:pPr>
        <w:pStyle w:val="Heading1"/>
      </w:pPr>
      <w:r>
        <w:t>4. Plain-Language Glossary</w:t>
      </w:r>
    </w:p>
    <w:p>
      <w:r>
        <w:t>If a word below is unfamiliar, this is what it means in this SOP:</w:t>
      </w:r>
    </w:p>
    <w:p>
      <w:pPr>
        <w:pStyle w:val="ListParagraph"/>
      </w:pPr>
      <w:r>
        <w:rPr>
          <w:b/>
        </w:rPr>
        <w:t xml:space="preserve">DVT/VTE: </w:t>
      </w:r>
      <w:r>
        <w:t>Deep Vein Thrombosis / Venous Thromboembolism — a blood clot, usually in the leg, that can travel to the lungs and become life-threatening; prevented with the right prophylaxis for the patient's risk level.</w:t>
      </w:r>
    </w:p>
    <w:p>
      <w:pPr>
        <w:pStyle w:val="Heading1"/>
      </w:pPr>
      <w:r>
        <w:t>5.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An unassessed or under-treated DVT risk can progress silently to a pulmonary embolism — prophylaxis only works if the risk is actually scored first.</w:t>
      </w:r>
    </w:p>
    <w:p>
      <w:r>
        <w:t>1. Assess every patient's DVT risk using the hospital's adopted validated tool (e.g. Caprini Risk Assessment Model).</w:t>
      </w:r>
    </w:p>
    <w:p>
      <w:r>
        <w:t>2. Commonly used Caprini score bands: 0 — very low risk; 1-2 — low risk; 3-4 — moderate risk; 5 or more — high risk. [Hospital to define: confirm the exact score bands and prophylaxis matched to each, against the version of the tool this hospital has adopted.]</w:t>
      </w:r>
    </w:p>
    <w:p>
      <w:r>
        <w:t>3. Document the tool used and the resulting risk level.</w:t>
      </w:r>
    </w:p>
    <w:p>
      <w:r>
        <w:t>4. For patients found at risk, implement management per written guidance — mechanical prophylaxis (compression stockings, intermittent pneumatic compression) and/or pharmacological prophylaxis, as clinically indicated.</w:t>
      </w:r>
    </w:p>
    <w:p>
      <w:r>
        <w:t>5. Reassess on any significant change in mobility or surgical status.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Cronin, M., Dengler, N., Krauss, E. S., Segal, A., Wei, N., Daly, M., Mota, F., &amp; Caprini, J. A. (2019). Completion of the updated Caprini risk assessment model (2013 version). Clinical and Applied Thrombosis/Hemostasis, 25.</w:t>
        </w:r>
      </w:hyperlink>
    </w:p>
    <w:p>
      <w:pPr>
        <w:pStyle w:val="ListParagraph"/>
      </w:pPr>
      <w:hyperlink r:id="rId10">
        <w:r>
          <w:rPr>
            <w:color w:val="0563C1"/>
            <w:u w:val="single"/>
          </w:rPr>
          <w:t>Gould, M. K., Garcia, D. A., Wren, S. M., Karanicolas, P. J., Arcelus, J. I., Heit, J. A., &amp; Samama, C. M. (2012). Prevention of VTE in nonorthopedic surgical patients: American College of Chest Physicians evidence-based clinical practice guidelines (9th ed.). Chest, 141(2 Suppl), e227S–e277S.</w:t>
        </w:r>
      </w:hyperlink>
    </w:p>
    <w:p>
      <w:pPr>
        <w:pStyle w:val="Heading1"/>
      </w:pPr>
      <w:r>
        <w:t>6.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use a non-validated or informal method as a substitute for the adopted DVT-risk tool. Do not leave a patient identified as high DVT risk without the defined prophylaxis in place. Raising a missed or overdue DVT-risk assessment is not a disciplinary matter.</w:t>
      </w:r>
    </w:p>
    <w:p>
      <w:pPr>
        <w:pStyle w:val="Heading1"/>
      </w:pPr>
      <w:r>
        <w:t>7. Records</w:t>
      </w:r>
    </w:p>
    <w:p>
      <w:r>
        <w:t>Supported by Record 5 of the COP.16 Required Records pack: DVT Risk Assessment Record.</w:t>
      </w:r>
    </w:p>
    <w:p>
      <w:pPr>
        <w:pStyle w:val="Heading1"/>
      </w:pPr>
      <w:r>
        <w:t>8. Related Documents</w:t>
      </w:r>
    </w:p>
    <w:p>
      <w:pPr>
        <w:pStyle w:val="ListParagraph"/>
      </w:pPr>
      <w:r>
        <w:t>Policy on High-Risk Patients — Identification and Management (HCO/COP/POL/16) — COP.16 policy</w:t>
      </w:r>
    </w:p>
    <w:p>
      <w:pPr>
        <w:pStyle w:val="Heading1"/>
      </w:pPr>
      <w:r>
        <w:t>9. Where This SOP's Requirements Come From (Verified Sources)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2">
        <w:r>
          <w:rPr>
            <w:color w:val="0563C1"/>
            <w:u w:val="single"/>
          </w:rPr>
          <w:t>Caprini (2005) — Thrombosis risk assessment as a guide to quality patient care</w:t>
        </w:r>
      </w:hyperlink>
    </w:p>
    <w:p>
      <w:pPr>
        <w:pStyle w:val="Heading1"/>
      </w:pPr>
      <w:r>
        <w:t>10. Review</w:t>
      </w:r>
    </w:p>
    <w:p>
      <w:r>
        <w:t>Reviewed annually, and immediately after any hospital-acquired VTE event.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journals.sagepub.com/doi/full/10.1177/1076029619838052" TargetMode="External"/><Relationship Id="rId10" Type="http://schemas.openxmlformats.org/officeDocument/2006/relationships/hyperlink" Target="https://pmc.ncbi.nlm.nih.gov/articles/PMC3278061/" TargetMode="External"/><Relationship Id="rId11" Type="http://schemas.openxmlformats.org/officeDocument/2006/relationships/hyperlink" Target="https://portal.nabh.co/images/Standards/NABH%20Hospital%20Accreditation%20Standard%206th%20Edition%20January%202025.pdf" TargetMode="External"/><Relationship Id="rId12" Type="http://schemas.openxmlformats.org/officeDocument/2006/relationships/hyperlink" Target="https://pubmed.ncbi.nlm.nih.gov/1590025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