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Standard Operating Procedure</w:t>
      </w:r>
    </w:p>
    <w:p>
      <w:r>
        <w:rPr>
          <w:b/>
          <w:sz w:val="26"/>
        </w:rPr>
        <w:t>Pressure-Ulcer Risk Assessment and Prevention</w:t>
      </w:r>
    </w:p>
    <w:p>
      <w:r>
        <w:t>«Hospital Name» — Supports COP.16.c (Stop-Work)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this SOP exist? (read this first if you're new)</w:t>
            </w:r>
          </w:p>
          <w:p>
            <w:r>
              <w:rPr>
                <w:sz w:val="20"/>
              </w:rPr>
              <w:t>This SOP describes how «Hospital Name» identifies patients at risk of developing a new pressure ulcer, or of an existing one worsening, and manages both scenarios. If you're new to this SOP, the short version is: follow the numbered steps below in order — they exist because skipping one of them is exactly how a real gap or a real patient-safety problem happens, not because NABH likes paperwork for its own sake.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SOP No.</w:t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  <w:t>[Hospital to define]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Version</w:t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  <w:t>1.0</w:t>
            </w:r>
          </w:p>
        </w:tc>
      </w:tr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  <w:t>________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Review Frequency</w:t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  <w:t>Annual, or on change</w:t>
            </w:r>
          </w:p>
        </w:tc>
      </w:tr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7260"/>
            <w:gridSpan w:val="3"/>
          </w:tcPr>
          <w:p>
            <w:r/>
            <w:r>
              <w:rPr>
                <w:b w:val="0"/>
                <w:sz w:val="20"/>
              </w:rPr>
              <w:t>Quality Coordinator   Name: ________   Signature: ________</w:t>
            </w:r>
          </w:p>
        </w:tc>
      </w:tr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7260"/>
            <w:gridSpan w:val="3"/>
          </w:tcPr>
          <w:p>
            <w:r/>
            <w:r>
              <w:rPr>
                <w:b w:val="0"/>
                <w:sz w:val="20"/>
              </w:rPr>
              <w:t>Medical Superintendent   Name: ________   Signature: ________</w:t>
            </w:r>
          </w:p>
        </w:tc>
      </w:tr>
    </w:tbl>
    <w:p>
      <w:pPr>
        <w:pStyle w:val="Heading1"/>
      </w:pPr>
      <w:r>
        <w:t>1. Purpose</w:t>
      </w:r>
    </w:p>
    <w:p>
      <w:r>
        <w:t>This SOP describes how «Hospital Name» identifies patients at risk of developing a new pressure ulcer, or of an existing one worsening, and manages both scenarios.</w:t>
      </w:r>
    </w:p>
    <w:p>
      <w:pPr>
        <w:pStyle w:val="Heading1"/>
      </w:pPr>
      <w:r>
        <w:t>2. Scope</w:t>
      </w:r>
    </w:p>
    <w:p>
      <w:r>
        <w:t>Applies to every in-patient at admission and on any significant change in condition or mobility.</w:t>
      </w:r>
    </w:p>
    <w:p>
      <w:pPr>
        <w:pStyle w:val="Heading1"/>
      </w:pPr>
      <w:r>
        <w:t>3. Responsibility</w:t>
      </w:r>
    </w:p>
    <w:p>
      <w:r>
        <w:t xml:space="preserve">Admitting/Ward Nurse: </w:t>
      </w:r>
      <w:r>
        <w:t>completes the pressure-ulcer risk assessment and implements the resulting management plan.</w:t>
      </w:r>
    </w:p>
    <w:p>
      <w:pPr>
        <w:pStyle w:val="Heading1"/>
      </w:pPr>
      <w:r>
        <w:t>4. Procedure</w:t>
      </w:r>
    </w:p>
    <w:p>
      <w:r>
        <w:rPr>
          <w:b/>
          <w:i/>
        </w:rPr>
        <w:t xml:space="preserve">Why this step matters: </w:t>
      </w:r>
      <w:r>
        <w:rPr>
          <w:i/>
        </w:rPr>
        <w:t>A pressure ulcer that develops during the stay is one the Braden score, done at admission, exists to flag and prevent before it starts.</w:t>
      </w:r>
    </w:p>
    <w:p>
      <w:r>
        <w:t>1. Assess every patient using the hospital's adopted validated tool (e.g. Braden Scale) at admission.</w:t>
      </w:r>
    </w:p>
    <w:p>
      <w:r>
        <w:t>2. Commonly used Braden Scale bands: 15-18 — mild risk; 13-14 — moderate risk; 10-12 — high risk; 9 or below — severe risk. [Hospital to define: confirm the exact score bands this hospital has adopted.]</w:t>
      </w:r>
    </w:p>
    <w:p>
      <w:r>
        <w:t>3. The assessment covers both risk scenarios separately: risk of developing a new pressure ulcer, and risk of an existing pressure ulcer worsening. Address both, not just one.</w:t>
      </w:r>
    </w:p>
    <w:p>
      <w:r>
        <w:t>4. For patients found at risk, implement management per written guidance (e.g. repositioning schedule, pressure-relieving mattress, skin inspection frequency).</w:t>
      </w:r>
    </w:p>
    <w:p>
      <w:r>
        <w:t>5. Reassess on any significant change in mobility, nutrition, or overall condition.</w:t>
      </w:r>
    </w:p>
    <w:p>
      <w:r>
        <w:rPr>
          <w:b/>
          <w:i/>
          <w:sz w:val="18"/>
        </w:rPr>
        <w:t xml:space="preserve">Technical source(s) for these steps: </w:t>
      </w:r>
    </w:p>
    <w:p>
      <w:pPr>
        <w:pStyle w:val="ListParagraph"/>
      </w:pPr>
      <w:hyperlink r:id="rId9">
        <w:r>
          <w:rPr>
            <w:color w:val="0563C1"/>
            <w:u w:val="single"/>
          </w:rPr>
          <w:t>European Pressure Ulcer Advisory Panel, National Pressure Injury Advisory Panel, &amp; Pan Pacific Pressure Injury Alliance. (2019). Prevention and treatment of pressure ulcers/injuries: Clinical practice guideline (3rd ed.).</w:t>
        </w:r>
      </w:hyperlink>
    </w:p>
    <w:p>
      <w:pPr>
        <w:pStyle w:val="Heading1"/>
      </w:pPr>
      <w:r>
        <w:t>5. Stop-Work Authority</w:t>
      </w:r>
    </w:p>
    <w:p>
      <w:r>
        <w:t>Any staff member covered by this SOP has the explicit right to pause or refuse to proceed with an unsafe step described below — this is not a disciplinary matter, even if it later turns out the step would have been fine.</w:t>
      </w:r>
    </w:p>
    <w:p>
      <w:r>
        <w:t>Do not use a non-validated or informal method as a substitute for the adopted pressure-ulcer risk tool. Do not assess only for new-ulcer risk while ignoring worsening risk for a patient who already has one — both must be addressed. Raising a missed or overdue assessment is not a disciplinary matter.</w:t>
      </w:r>
    </w:p>
    <w:p>
      <w:pPr>
        <w:pStyle w:val="Heading1"/>
      </w:pPr>
      <w:r>
        <w:t>6. Records</w:t>
      </w:r>
    </w:p>
    <w:p>
      <w:r>
        <w:t>Supported by Record 4 of the COP.16 Required Records pack: Pressure-Ulcer Risk Assessment Record.</w:t>
      </w:r>
    </w:p>
    <w:p>
      <w:pPr>
        <w:pStyle w:val="Heading1"/>
      </w:pPr>
      <w:r>
        <w:t>7. Related Documents</w:t>
      </w:r>
    </w:p>
    <w:p>
      <w:pPr>
        <w:pStyle w:val="ListParagraph"/>
      </w:pPr>
      <w:r>
        <w:t>Policy on High-Risk Patients — Identification and Management (HCO/COP/POL/16) — COP.16 policy</w:t>
      </w:r>
    </w:p>
    <w:p>
      <w:pPr>
        <w:pStyle w:val="Heading1"/>
      </w:pPr>
      <w:r>
        <w:t>8. Where This SOP's Requirements Come From (Verified Sources)</w:t>
      </w:r>
    </w:p>
    <w:p>
      <w:pPr>
        <w:pStyle w:val="ListParagraph"/>
      </w:pPr>
      <w:hyperlink r:id="rId10">
        <w:r>
          <w:rPr>
            <w:color w:val="0563C1"/>
            <w:u w:val="single"/>
          </w:rPr>
          <w:t>National Accreditation Board for Hospitals and Healthcare Providers. (2025). NABH accreditation standards for hospitals (6th ed.). ISBN 978-81-965264-9-8.</w:t>
        </w:r>
      </w:hyperlink>
    </w:p>
    <w:p>
      <w:pPr>
        <w:pStyle w:val="ListParagraph"/>
      </w:pPr>
      <w:hyperlink r:id="rId11">
        <w:r>
          <w:rPr>
            <w:color w:val="0563C1"/>
            <w:u w:val="single"/>
          </w:rPr>
          <w:t>Bergstrom et al. (1987) — The Braden Scale for predicting pressure sore risk</w:t>
        </w:r>
      </w:hyperlink>
    </w:p>
    <w:p>
      <w:pPr>
        <w:pStyle w:val="Heading1"/>
      </w:pPr>
      <w:r>
        <w:t>9. Review</w:t>
      </w:r>
    </w:p>
    <w:p>
      <w:r>
        <w:t>Reviewed annually, and immediately after any hospital-acquired pressure ulcer of Stage 2 or higher.</w:t>
      </w:r>
    </w:p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internationalguideline.com/2019" TargetMode="External"/><Relationship Id="rId10" Type="http://schemas.openxmlformats.org/officeDocument/2006/relationships/hyperlink" Target="https://portal.nabh.co/images/Standards/NABH%20Hospital%20Accreditation%20Standard%206th%20Edition%20January%202025.pdf" TargetMode="External"/><Relationship Id="rId11" Type="http://schemas.openxmlformats.org/officeDocument/2006/relationships/hyperlink" Target="https://pubmed.ncbi.nlm.nih.gov/329927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