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Nutritional Screening and Therapeutic Diet Management</w:t>
      </w:r>
    </w:p>
    <w:p>
      <w:r>
        <w:t>«Hospital Name» — Supports COP.19.a through COP.19.d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screens every patient for nutritional risk, escalates at-risk patients to a dietician, and delivers the correct diet to the correct patient.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screens every patient for nutritional risk, escalates at-risk patients to a dietician, and delivers the correct diet to the correct patient.</w:t>
      </w:r>
    </w:p>
    <w:p>
      <w:pPr>
        <w:pStyle w:val="Heading1"/>
      </w:pPr>
      <w:r>
        <w:t>2. Scope</w:t>
      </w:r>
    </w:p>
    <w:p>
      <w:r>
        <w:t>Applies to every admitted patient.</w:t>
      </w:r>
    </w:p>
    <w:p>
      <w:pPr>
        <w:pStyle w:val="Heading1"/>
      </w:pPr>
      <w:r>
        <w:t>3. Responsibility</w:t>
      </w:r>
    </w:p>
    <w:p>
      <w:r>
        <w:t xml:space="preserve">Doctor / Nurse (screener): </w:t>
      </w:r>
      <w:r>
        <w:t>screens on admission.</w:t>
      </w:r>
    </w:p>
    <w:p>
      <w:r>
        <w:t xml:space="preserve">Dietician: </w:t>
      </w:r>
      <w:r>
        <w:t>assesses at-risk patients and plans the diet with the doctor and patient/relative.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MUST: </w:t>
      </w:r>
      <w:r>
        <w:t>Malnutrition Universal Screening Tool — a short screening tool used to flag patients at risk of malnutrition.</w:t>
      </w:r>
    </w:p>
    <w:p>
      <w:pPr>
        <w:pStyle w:val="Heading1"/>
      </w:pPr>
      <w:r>
        <w:t>5.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malnourished patient who isn't screened at admission can go through an entire stay without the dietician referral they actually needed.</w:t>
      </w:r>
    </w:p>
    <w:p>
      <w:r>
        <w:t>1. Screen every patient for nutritional risk on admission, using the hospital's adopted validated tool (e.g. the Malnutrition Universal Screening Tool).</w:t>
      </w:r>
    </w:p>
    <w:p>
      <w:r>
        <w:t>2. MUST scores three elements — BMI, unplanned recent weight loss, and the acute-disease effect on intake — and adds them: total 0 is low risk; 1 is medium risk; 2 or more is high risk, triggering the dietician referral in step 2 below.</w:t>
      </w:r>
    </w:p>
    <w:p>
      <w:r>
        <w:t>3. For at-risk patients, a dietician — not the original screener — completes a full nutritional assessment covering planning, preparation, and distribution.</w:t>
      </w:r>
    </w:p>
    <w:p>
      <w:r>
        <w:t>4. Plan the diet collaboratively: dietician, treating doctor, and patient/relative, accounting for allergies, food habits, and preferences.</w:t>
      </w:r>
    </w:p>
    <w:p>
      <w:r>
        <w:t>5. Write a diet order for every patient, kept in a consistent location in the record. For therapeutic diets, confirm the diet sheet matches what is actually delivered.</w:t>
      </w:r>
    </w:p>
    <w:p>
      <w:r>
        <w:t>6. Where family brings food, the dietician explains diet limitations and separately monitors what is actually brought against the prescribed diet.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Malnutrition Advisory Group, BAPEN. (2011, reviewed 2023). The 'MUST' report: Nutritional screening of adults.</w:t>
        </w:r>
      </w:hyperlink>
    </w:p>
    <w:p>
      <w:pPr>
        <w:pStyle w:val="Heading1"/>
      </w:pPr>
      <w:r>
        <w:t>6. Records</w:t>
      </w:r>
    </w:p>
    <w:p>
      <w:r>
        <w:t>Supported by all 6 records in the COP.19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Nutritional Therapy (HCO/COP/POL/19) — COP.19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BAPEN — Malnutrition Universal Screening Tool ('MUST')</w:t>
        </w:r>
      </w:hyperlink>
    </w:p>
    <w:p>
      <w:pPr>
        <w:pStyle w:val="Heading1"/>
      </w:pPr>
      <w:r>
        <w:t>9.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apen.org.uk/pdfs/must/must-report.pdf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www.bapen.org.uk/must-and-self-screening/introducing-mu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