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Medico-Legal Case and Death Management</w:t>
      </w:r>
    </w:p>
    <w:p>
      <w:r>
        <w:t>«Hospital Name» — Supports COP.2.c, COP.2.g, COP.2.h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handles medico-legal cases, patients found dead on arrival, and patients who die within minutes of arrival — meeting statutory documentation and reporting duties in every case.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handles medico-legal cases, patients found dead on arrival, and patients who die within minutes of arrival — meeting statutory documentation and reporting duties in every case.</w:t>
      </w:r>
    </w:p>
    <w:p>
      <w:pPr>
        <w:pStyle w:val="Heading1"/>
      </w:pPr>
      <w:r>
        <w:t>2. Scope</w:t>
      </w:r>
    </w:p>
    <w:p>
      <w:r>
        <w:t>Applies to every medico-legal case, brought-dead patient, and death occurring within minutes of arrival in the emergency area.</w:t>
      </w:r>
    </w:p>
    <w:p>
      <w:pPr>
        <w:pStyle w:val="Heading1"/>
      </w:pPr>
      <w:r>
        <w:t>3. Responsibility</w:t>
      </w:r>
    </w:p>
    <w:p>
      <w:r>
        <w:t xml:space="preserve">Treating Doctor: </w:t>
      </w:r>
      <w:r>
        <w:t>identifies MLC status, documents findings, and completes statutory certification.</w:t>
      </w:r>
    </w:p>
    <w:p>
      <w:r>
        <w:t xml:space="preserve">Emergency In-Charge: </w:t>
      </w:r>
      <w:r>
        <w:t>ensures police intimation and body-handling procedures are followed.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MLC: </w:t>
      </w:r>
      <w:r>
        <w:t>Medico-Legal Case — a case that has to be reported to police or other authorities because of how the injury or condition occurred (for example an assault or accident).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Medico-legal cases</w:t>
      </w:r>
    </w:p>
    <w:p>
      <w:r>
        <w:rPr>
          <w:b/>
          <w:i/>
        </w:rPr>
        <w:t xml:space="preserve">Why this step matters: </w:t>
      </w:r>
      <w:r>
        <w:rPr>
          <w:i/>
        </w:rPr>
        <w:t>An MLC not registered or reported to police at the time creates a legal gap that can't be closed retroactively once the patient has left or evidence has moved.</w:t>
      </w:r>
    </w:p>
    <w:p>
      <w:r>
        <w:t>1. Identify and register every medico-legal case as required by local law, including suspected sexual assault.</w:t>
      </w:r>
    </w:p>
    <w:p>
      <w:r>
        <w:t>2. Intimate the police per statutory requirement, and document the intimation with date and time.</w:t>
      </w:r>
    </w:p>
    <w:p>
      <w:r>
        <w:t>3. Preserve samples and evidence per statutory and forensic requirements, with documented storage confirmation.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Government of India. (1973). The Code of Criminal Procedure, 1973, s. 174 (Police to inquire and report on suicide, etc.).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Ministry of Health and Family Welfare, Government of India. (2014). Guidelines &amp; protocols: Medico-legal care for survivors/victims of sexual violence.</w:t>
        </w:r>
      </w:hyperlink>
    </w:p>
    <w:p>
      <w:pPr>
        <w:pStyle w:val="Heading2"/>
      </w:pPr>
      <w:r>
        <w:t>5.2 Patients found dead on arrival</w:t>
      </w:r>
    </w:p>
    <w:p>
      <w:r>
        <w:rPr>
          <w:b/>
          <w:i/>
        </w:rPr>
        <w:t xml:space="preserve">Why this step matters: </w:t>
      </w:r>
      <w:r>
        <w:rPr>
          <w:i/>
        </w:rPr>
        <w:t>An unidentified body not logged and reported per the statutory process can leave a family never notified and a legal requirement unmet.</w:t>
      </w:r>
    </w:p>
    <w:p>
      <w:r>
        <w:t>1. Log the case per local law, and follow the statutory process for unidentified or unclaimed bodies, including police intimation.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Government of India. (1973). The Code of Criminal Procedure, 1973, s. 174 (Police to inquire and report on suicide, etc.).</w:t>
        </w:r>
      </w:hyperlink>
    </w:p>
    <w:p>
      <w:pPr>
        <w:pStyle w:val="Heading2"/>
      </w:pPr>
      <w:r>
        <w:t>5.3 Death within minutes of arrival</w:t>
      </w:r>
    </w:p>
    <w:p>
      <w:r>
        <w:rPr>
          <w:b/>
          <w:i/>
        </w:rPr>
        <w:t xml:space="preserve">Why this step matters: </w:t>
      </w:r>
      <w:r>
        <w:rPr>
          <w:i/>
        </w:rPr>
        <w:t>A resuscitation attempt that isn't fully timed and documented leaves no record to show what was actually tried before the patient died.</w:t>
      </w:r>
    </w:p>
    <w:p>
      <w:r>
        <w:t>1. Register the case and record the full resuscitation sequence — start time, interventions, end time, and outcome.</w:t>
      </w:r>
    </w:p>
    <w:p>
      <w:r>
        <w:t>2. Complete a medical certificate of cause of death, and hand over the body to the next of kin with documentation.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Cummins, R. O., Chamberlain, D., Abramson, N., et al. (1997). Recommended guidelines for reviewing, reporting, and conducting research on in-hospital resuscitation: The in-hospital “Utstein style.” Circulation, 95(8), 2213–2239.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Office of the Registrar General, India. (n.d.). Medical certificate of cause of death (Form No. 4, under Rule 7, Registration of Births and Deaths Rules).</w:t>
        </w:r>
      </w:hyperlink>
    </w:p>
    <w:p>
      <w:pPr>
        <w:pStyle w:val="Heading1"/>
      </w:pPr>
      <w:r>
        <w:t>6. Records</w:t>
      </w:r>
    </w:p>
    <w:p>
      <w:r>
        <w:t>Supported by Records 8, 15, 16, 17, and 18 of the COP.2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Emergency Care Services (HCO/COP/POL/02) — COP.2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3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Heading1"/>
      </w:pPr>
      <w:r>
        <w:t>9. Review</w:t>
      </w:r>
    </w:p>
    <w:p>
      <w:r>
        <w:t>Reviewed annually, and immediately after any statutory reporting gap identified in audit.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diankanoon.org/doc/411677/" TargetMode="External"/><Relationship Id="rId10" Type="http://schemas.openxmlformats.org/officeDocument/2006/relationships/hyperlink" Target="https://main.mohfw.gov.in/reports/guidelines-and-protocols-medico-legal-care-survivors-victims-sexual-violence" TargetMode="External"/><Relationship Id="rId11" Type="http://schemas.openxmlformats.org/officeDocument/2006/relationships/hyperlink" Target="https://www.ahajournals.org/doi/10.1161/01.cir.95.8.2213" TargetMode="External"/><Relationship Id="rId12" Type="http://schemas.openxmlformats.org/officeDocument/2006/relationships/hyperlink" Target="https://dc.crsorgi.gov.in/assets/download/MCCD_Form.pdf" TargetMode="External"/><Relationship Id="rId13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