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Code Blue / CPR Response</w:t>
      </w:r>
    </w:p>
    <w:p>
      <w:r>
        <w:t>«Hospital Name» — Supports COP.5.a through COP.5.f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responds immediately to a cardiac or respiratory arrest anywhere in the hospital, with a trained team, working equipment, and structured post-event review.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responds immediately to a cardiac or respiratory arrest anywhere in the hospital, with a trained team, working equipment, and structured post-event review.</w:t>
      </w:r>
    </w:p>
    <w:p>
      <w:pPr>
        <w:pStyle w:val="Heading1"/>
      </w:pPr>
      <w:r>
        <w:t>2. Scope</w:t>
      </w:r>
    </w:p>
    <w:p>
      <w:r>
        <w:t>Applies to every area of the hospital — wards, OPD, diagnostic areas, and any location a patient, visitor, or staff member could require CPR.</w:t>
      </w:r>
    </w:p>
    <w:p>
      <w:pPr>
        <w:pStyle w:val="Heading1"/>
      </w:pPr>
      <w:r>
        <w:t>3. Responsibility</w:t>
      </w:r>
    </w:p>
    <w:p>
      <w:r>
        <w:t xml:space="preserve">First Responder (any staff member): </w:t>
      </w:r>
      <w:r>
        <w:t>starts BLS (Basic Life Support) immediately on recognising the need — never waits for the code team.</w:t>
      </w:r>
    </w:p>
    <w:p>
      <w:r>
        <w:t xml:space="preserve">Code Blue Team: </w:t>
      </w:r>
      <w:r>
        <w:t>responds to the call, leads advanced resuscitation, and records the event.</w:t>
      </w:r>
    </w:p>
    <w:p>
      <w:r>
        <w:t xml:space="preserve">Post-Event Analysis Committee: </w:t>
      </w:r>
      <w:r>
        <w:t>reviews every event within the defined time frame.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CAPA: </w:t>
      </w:r>
      <w:r>
        <w:t>Short for Corrective and Preventive Action — what was done to fix a specific problem right now, and what's being done so it doesn't happen again.</w:t>
      </w:r>
    </w:p>
    <w:p>
      <w:pPr>
        <w:pStyle w:val="ListParagraph"/>
      </w:pPr>
      <w:r>
        <w:rPr>
          <w:b/>
        </w:rPr>
        <w:t xml:space="preserve">Code Blue: </w:t>
      </w:r>
      <w:r>
        <w:t>The hospital's alert signal for a patient needing immediate resuscitation.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Immediate response</w:t>
      </w:r>
    </w:p>
    <w:p>
      <w:r>
        <w:rPr>
          <w:b/>
          <w:i/>
        </w:rPr>
        <w:t xml:space="preserve">Why this step matters: </w:t>
      </w:r>
      <w:r>
        <w:rPr>
          <w:i/>
        </w:rPr>
        <w:t>Every second of delay before starting CPR measurably lowers the chance of a good outcome — this is the one step where rushing is actually the correct speed.</w:t>
      </w:r>
    </w:p>
    <w:p>
      <w:r>
        <w:t>1. Start basic life support immediately on identifying a CPR-requiring condition — in every area, with no delay for any reason.</w:t>
      </w:r>
    </w:p>
    <w:p>
      <w:r>
        <w:t>2. Call the Code Blue team per the hospital's activation process.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Panchal, A. R., Bartos, J. A., Cabáñas, J. G., et al. (2020). Part 3: Adult basic and advanced life support: 2020 American Heart Association guidelines for CPR and ECC. Circulation, 142(16_suppl_2), S366–S468.</w:t>
        </w:r>
      </w:hyperlink>
    </w:p>
    <w:p>
      <w:pPr>
        <w:pStyle w:val="Heading2"/>
      </w:pPr>
      <w:r>
        <w:t>5.2 Team response</w:t>
      </w:r>
    </w:p>
    <w:p>
      <w:r>
        <w:rPr>
          <w:b/>
          <w:i/>
        </w:rPr>
        <w:t xml:space="preserve">Why this step matters: </w:t>
      </w:r>
      <w:r>
        <w:rPr>
          <w:i/>
        </w:rPr>
        <w:t>A code blue where no one's role is clear is chaos exactly when the patient needs coordinated action — the roster exists to prevent that at the worst possible moment.</w:t>
      </w:r>
    </w:p>
    <w:p>
      <w:r>
        <w:t>1. Respond per the assigned Code Blue role — team leader, airway, compressions, medications, documentation, as designated on the roster.</w:t>
      </w:r>
    </w:p>
    <w:p>
      <w:r>
        <w:t>2. Use the defibrillator from the nearest accessible location without delay.</w:t>
      </w:r>
    </w:p>
    <w:p>
      <w:r>
        <w:t>3. Confirm emergency medications and intubation equipment are available in the area — this is checked routinely, not only during an event.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Panchal, A. R., Bartos, J. A., Cabáñas, J. G., et al. (2020). Part 3: Adult basic and advanced life support: 2020 American Heart Association guidelines for CPR and ECC. Circulation, 142(16_suppl_2), S366–S468.</w:t>
        </w:r>
      </w:hyperlink>
    </w:p>
    <w:p>
      <w:pPr>
        <w:pStyle w:val="Heading2"/>
      </w:pPr>
      <w:r>
        <w:t>5.3 Documentation</w:t>
      </w:r>
    </w:p>
    <w:p>
      <w:r>
        <w:rPr>
          <w:b/>
          <w:i/>
        </w:rPr>
        <w:t xml:space="preserve">Why this step matters: </w:t>
      </w:r>
      <w:r>
        <w:rPr>
          <w:i/>
        </w:rPr>
        <w:t>If this isn't written down, there's no way to prove later that it actually happened, and no way for the next shift to know what was done.</w:t>
      </w:r>
    </w:p>
    <w:p>
      <w:r>
        <w:t>1. Record the event: personnel present, response timeliness, resource availability, and any barriers encountered.</w:t>
      </w:r>
    </w:p>
    <w:p>
      <w:r>
        <w:t>2. For mock drills, record the same information as for actual events.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Cummins, R. O., Chamberlain, D., Abramson, N., et al. (1997). Recommended guidelines for reviewing, reporting, and conducting research on in-hospital resuscitation: The in-hospital “Utstein style.” Circulation, 95(8), 2213–2239.</w:t>
        </w:r>
      </w:hyperlink>
    </w:p>
    <w:p>
      <w:pPr>
        <w:pStyle w:val="Heading2"/>
      </w:pPr>
      <w:r>
        <w:t>5.4 Post-event analysis and improvement</w:t>
      </w:r>
    </w:p>
    <w:p>
      <w:r>
        <w:rPr>
          <w:b/>
          <w:i/>
        </w:rPr>
        <w:t xml:space="preserve">Why this step matters: </w:t>
      </w:r>
      <w:r>
        <w:rPr>
          <w:i/>
        </w:rPr>
        <w:t>A code blue that's never reviewed keeps repeating the same response gaps, drill after drill, because no one ever looked at what actually happened.</w:t>
      </w:r>
    </w:p>
    <w:p>
      <w:r>
        <w:t>1. The multidisciplinary committee (physician/cardiologist, anaesthesiologist, code blue member, nurse) meets at least quarterly.</w:t>
      </w:r>
    </w:p>
    <w:p>
      <w:r>
        <w:t>2. Analyse initiation time, team arrival time, resource availability, event sequence, coordination, and outcome, within the hospital's defined time frame after the event.</w:t>
      </w:r>
    </w:p>
    <w:p>
      <w:r>
        <w:t>3. Complete CAPA within the defined time frame, and communicate findings back to the participants — closing the loop with the people who were actually there.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Cummins, R. O., Chamberlain, D., Abramson, N., et al. (1997). Recommended guidelines for reviewing, reporting, and conducting research on in-hospital resuscitation: The in-hospital “Utstein style.” Circulation, 95(8), 2213–2239.</w:t>
        </w:r>
      </w:hyperlink>
    </w:p>
    <w:p>
      <w:pPr>
        <w:pStyle w:val="Heading1"/>
      </w:pPr>
      <w:r>
        <w:t>6. Records</w:t>
      </w:r>
    </w:p>
    <w:p>
      <w:r>
        <w:t>Supported by all 9 records in the COP.5 Required Records pack.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Cardio-pulmonary Resuscitation Services (HCO/COP/POL/05) — COP.5 policy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2">
        <w:r>
          <w:rPr>
            <w:color w:val="0563C1"/>
            <w:u w:val="single"/>
          </w:rPr>
          <w:t>American Heart Association — Guidelines for CPR and Emergency Cardiovascular Care</w:t>
        </w:r>
      </w:hyperlink>
    </w:p>
    <w:p>
      <w:pPr>
        <w:pStyle w:val="Heading1"/>
      </w:pPr>
      <w:r>
        <w:t>9. Review</w:t>
      </w:r>
    </w:p>
    <w:p>
      <w:r>
        <w:t>Reviewed annually, and immediately after any CPR event with an unfavourable outcome linked to a process gap.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hajournals.org/doi/10.1161/CIR.0000000000000916" TargetMode="External"/><Relationship Id="rId10" Type="http://schemas.openxmlformats.org/officeDocument/2006/relationships/hyperlink" Target="https://www.ahajournals.org/doi/10.1161/01.cir.95.8.2213" TargetMode="External"/><Relationship Id="rId11" Type="http://schemas.openxmlformats.org/officeDocument/2006/relationships/hyperlink" Target="https://portal.nabh.co/images/Standards/NABH%20Hospital%20Accreditation%20Standard%206th%20Edition%20January%202025.pdf" TargetMode="External"/><Relationship Id="rId12" Type="http://schemas.openxmlformats.org/officeDocument/2006/relationships/hyperlink" Target="https://cpr.heart.org/en/resuscitation-science/cpr-and-ecc-guide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