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Safe and Secure Environment</w:t>
      </w:r>
    </w:p>
    <w:p>
      <w:r>
        <w:t>«Hospital Name» — Supports FMS.1</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keeps the facility safe and secure. It covers: Installing and inspecting patient-safety devices and infrastructure Providing accessible facilities for differently-abled persons Conducting monthly safety-inspection rounds Documenting inspection findings and acting on them Carrying out risk assessments before any construction, renovation or expansion of the facility This policy covers safe and secure environment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 If you're new to this SOP, the short version is: follow the numbered steps below in order — they exist because skipping one of them is exactly how a facility hazard goes unnoticed until it hurts someone.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keeps the facility safe and secure. It covers: Installing and inspecting patient-safety devices and infrastructure Providing accessible facilities for differently-abled persons Conducting monthly safety-inspection rounds Documenting inspection findings and acting on them Carrying out risk assessments before any construction, renovation or expansion of the facility This policy covers safe and secure environment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w:t>
      </w:r>
    </w:p>
    <w:p>
      <w:pPr>
        <w:pStyle w:val="Heading1"/>
      </w:pPr>
      <w:r>
        <w:t>2. Scope</w:t>
      </w:r>
    </w:p>
    <w:p>
      <w:r>
        <w:t>This policy applies to «Hospital Name» staff involved in facilities, utilities, medical gases, and fire or non-fire emergencies, including: Engineering, biomedical, nursing and departmental leaders The Engineering In-Charge The Medical Superintendent Departmental leaders The Quality Coordinator This policy covers safe and secure environment specifically. Related duties are covered in the hospital's other policies, not repeated here, including: Patient assessment Clinical care Medication management Patient rights Infection control Quality and safety monitoring Hospital governance</w:t>
      </w:r>
    </w:p>
    <w:p>
      <w:pPr>
        <w:pStyle w:val="Heading1"/>
      </w:pPr>
      <w:r>
        <w:t>3. Responsibility</w:t>
      </w:r>
    </w:p>
    <w:p>
      <w:r>
        <w:t xml:space="preserve">Facility Manager / Engineering In-Charge: </w:t>
      </w:r>
      <w:r>
        <w:t>owns the equipment, inventories, inspection schedules and maintenance plans this policy requires, and keeps the required records current.</w:t>
      </w:r>
    </w:p>
    <w:p>
      <w:r>
        <w:t xml:space="preserve">Medical Superintendent: </w:t>
      </w:r>
      <w:r>
        <w:t>escalation point for any gap not being closed, and signs off risk assessments before major facility work.</w:t>
      </w:r>
    </w:p>
    <w:p>
      <w:r>
        <w:t xml:space="preserve">Quality Coordinator: </w:t>
      </w:r>
      <w:r>
        <w:t>audits this policy periodically, checks records against the steps below, and flags gaps for corrective action.</w:t>
      </w:r>
    </w:p>
    <w:p>
      <w:r>
        <w:t xml:space="preserve">Department Heads / Nursing In-charges: </w:t>
      </w:r>
      <w:r>
        <w:t>report facility hazards or equipment issues in their own area promptly and support inspection rounds.</w:t>
      </w:r>
    </w:p>
    <w:p>
      <w:pPr>
        <w:pStyle w:val="Heading1"/>
      </w:pPr>
      <w:r>
        <w:t>4. Plain-Language Glossary</w:t>
      </w:r>
    </w:p>
    <w:p>
      <w:r>
        <w:t>If a word below is unfamiliar, this is what it means in this SOP:</w:t>
      </w:r>
    </w:p>
    <w:p>
      <w:pPr>
        <w:pStyle w:val="ListParagraph"/>
      </w:pPr>
      <w:r>
        <w:rPr>
          <w:b/>
        </w:rPr>
        <w:t xml:space="preserve">NFPA: </w:t>
      </w:r>
      <w:r>
        <w:t>The National Fire Protection Association — a US-based body whose fire and life-safety codes (like NFPA 101 and NFPA 99) are widely used worldwide, including as a reference standard in Indian hospital fire-safety planning.</w:t>
      </w:r>
    </w:p>
    <w:p>
      <w:pPr>
        <w:pStyle w:val="ListParagraph"/>
      </w:pPr>
      <w:r>
        <w:rPr>
          <w:b/>
        </w:rPr>
        <w:t xml:space="preserve">National Building Code (NBC): </w:t>
      </w:r>
      <w:r>
        <w:t>India's national reference code (published by the Bureau of Indian Standards) covering building design, including fire and life safety.</w:t>
      </w:r>
    </w:p>
    <w:p>
      <w:pPr>
        <w:pStyle w:val="Heading1"/>
      </w:pPr>
      <w:r>
        <w:t>5. Procedure</w:t>
      </w:r>
    </w:p>
    <w:p>
      <w:pPr>
        <w:pStyle w:val="Heading2"/>
      </w:pPr>
      <w:r>
        <w:t>5.1 Patient safety devices and infrastructure are installed across the organisation and inspected periodically.</w:t>
      </w:r>
    </w:p>
    <w:p>
      <w:r>
        <w:rPr>
          <w:b/>
          <w:i/>
        </w:rPr>
        <w:t xml:space="preserve">Why this step matters: </w:t>
      </w:r>
      <w:r>
        <w:rPr>
          <w:i/>
        </w:rPr>
        <w:t>A grab bar or bed rail that was fitted once and never checked again is exactly the kind of thing that quietly fails and causes a real fall — this record proves the devices are actually there and someone actually checked them. This is a CORE requirement — NABH treats it as non-negotiable, not aspirational.</w:t>
      </w:r>
    </w:p>
    <w:p>
      <w:r>
        <w:t>1. Install the basic patient-safety devices and infrastructure every care area needs — grab bars, bed rails, call bells, corridor handrails, fire-safety devices — matched to the risk of that specific area, following the life-safety and egress principles set out in NFPA 101.</w:t>
      </w:r>
    </w:p>
    <w:p>
      <w:r>
        <w:t>2. Inspect every device or area on a fixed schedule and record the last-inspection date against each one, so a gap is visible at a glance rather than buried in memory.</w:t>
      </w:r>
    </w:p>
    <w:p>
      <w:r>
        <w:t>3. Where an in-use care area is found missing a device it should have, escalate it the same day rather than waiting for the next round. (Records 1–3)</w:t>
      </w:r>
    </w:p>
    <w:p>
      <w:r>
        <w:rPr>
          <w:b/>
          <w:i/>
          <w:sz w:val="18"/>
        </w:rPr>
        <w:t xml:space="preserve">Technical source(s) for these steps: </w:t>
      </w:r>
    </w:p>
    <w:p>
      <w:pPr>
        <w:pStyle w:val="ListParagraph"/>
      </w:pPr>
      <w:hyperlink r:id="rId9">
        <w:r>
          <w:rPr>
            <w:color w:val="0563C1"/>
            <w:u w:val="single"/>
          </w:rPr>
          <w:t>National Fire Protection Association — NFPA 101, Life Safety Code.</w:t>
        </w:r>
      </w:hyperlink>
    </w:p>
    <w:p>
      <w:pPr>
        <w:pStyle w:val="Heading2"/>
      </w:pPr>
      <w:r>
        <w:t>5.2 The organisation has facilities for the differently-abled</w:t>
      </w:r>
    </w:p>
    <w:p>
      <w:r>
        <w:rPr>
          <w:b/>
          <w:i/>
        </w:rPr>
        <w:t xml:space="preserve">Why this step matters: </w:t>
      </w:r>
      <w:r>
        <w:rPr>
          <w:i/>
        </w:rPr>
        <w:t>A hospital that hasn't actually provided step-free access, or a genuine alternative, is turning away the very patients who most need care — this record proves the provision is real, not a policy line. NABH checks this as part of how a genuinely safe physical environment actually runs, not just what's written about it.</w:t>
      </w:r>
    </w:p>
    <w:p>
      <w:r>
        <w:t>1. Provide a wheelchair-accessible entrance and an accessible toilet, matched to the space and ramp/door-width standards in the Harmonized Guidelines for Standards of Accessibility (Government of India).</w:t>
      </w:r>
    </w:p>
    <w:p>
      <w:r>
        <w:t>2. Where a specific area genuinely cannot be made step-free (an old structural constraint), document a real alternative arrangement for a wheelchair user to reach the equivalent service — not just a note that the gap exists.</w:t>
      </w:r>
    </w:p>
    <w:p>
      <w:r>
        <w:t>3. Keep the exact regulatory reference used for each accessibility provision made, so it's traceable to a real standard rather than a guess at what 'accessible' means. (Records 4–6)</w:t>
      </w:r>
    </w:p>
    <w:p>
      <w:r>
        <w:rPr>
          <w:b/>
          <w:i/>
          <w:sz w:val="18"/>
        </w:rPr>
        <w:t xml:space="preserve">Technical source(s) for these steps: </w:t>
      </w:r>
    </w:p>
    <w:p>
      <w:pPr>
        <w:pStyle w:val="ListParagraph"/>
      </w:pPr>
      <w:hyperlink r:id="rId10">
        <w:r>
          <w:rPr>
            <w:color w:val="0563C1"/>
            <w:u w:val="single"/>
          </w:rPr>
          <w:t>Office of the Chief Commissioner for Persons with Disabilities, Government of India — Harmonized Guidelines and Space Standards for Barrier-Free Built Environment.</w:t>
        </w:r>
      </w:hyperlink>
    </w:p>
    <w:p>
      <w:pPr>
        <w:pStyle w:val="Heading2"/>
      </w:pPr>
      <w:r>
        <w:t>5.3 Facility inspection rounds to ensure safety are conducted at least once a month.</w:t>
      </w:r>
    </w:p>
    <w:p>
      <w:r>
        <w:rPr>
          <w:b/>
          <w:i/>
        </w:rPr>
        <w:t xml:space="preserve">Why this step matters: </w:t>
      </w:r>
      <w:r>
        <w:rPr>
          <w:i/>
        </w:rPr>
        <w:t>A hazard that's never actually inspected for is a hazard nobody is managing — this record proves the round happened this month, not just that a schedule for it exists. This is a CORE requirement — NABH treats it as non-negotiable, not aspirational.</w:t>
      </w:r>
    </w:p>
    <w:p>
      <w:r>
        <w:t>1. Set a fixed monthly calendar for facility-safety inspection rounds and follow it — a round that happens 'when someone has time' quietly stops happening.</w:t>
      </w:r>
    </w:p>
    <w:p>
      <w:r>
        <w:t>2. Use a written checklist for the round so the same items are checked every time, not whatever the inspector happens to remember.</w:t>
      </w:r>
    </w:p>
    <w:p>
      <w:r>
        <w:t>3. Specifically identify and separately track any restricted or security-risk area on the round — these need checking even when nobody has raised a concern about them recently. (Records 7–9)</w:t>
      </w:r>
    </w:p>
    <w:p>
      <w:pPr>
        <w:pStyle w:val="Heading2"/>
      </w:pPr>
      <w:r>
        <w:t>5.4 Inspection reports of facility rounds are documented and corrective and preventive measures are undertaken.</w:t>
      </w:r>
    </w:p>
    <w:p>
      <w:r>
        <w:rPr>
          <w:b/>
          <w:i/>
        </w:rPr>
        <w:t xml:space="preserve">Why this step matters: </w:t>
      </w:r>
      <w:r>
        <w:rPr>
          <w:i/>
        </w:rPr>
        <w:t>A safety finding that's written down and never acted on is worse than no finding at all, because everyone assumes it's been fixed — this record proves the safety committee actually reviewed it and closed it. NABH checks this as part of how a genuinely safe physical environment actually runs, not just what's written about it.</w:t>
      </w:r>
    </w:p>
    <w:p>
      <w:r>
        <w:t>1. Write up each round as a dated inspection report, not just a completed checklist with ticks and no narrative.</w:t>
      </w:r>
    </w:p>
    <w:p>
      <w:r>
        <w:t>2. For every finding, open a corrective-and-preventive-action record and follow it through to closure — a finding with no action record is a finding that was noticed and then dropped.</w:t>
      </w:r>
    </w:p>
    <w:p>
      <w:r>
        <w:t>3. Bring the reports to the safety committee for review, and keep that review on record. (Records 10–12)</w:t>
      </w:r>
    </w:p>
    <w:p>
      <w:pPr>
        <w:pStyle w:val="Heading2"/>
      </w:pPr>
      <w:r>
        <w:t>5.5 Before construction, renovation and expansion of the existing hospital, risk-assessment is carried out.</w:t>
      </w:r>
    </w:p>
    <w:p>
      <w:r>
        <w:rPr>
          <w:b/>
          <w:i/>
        </w:rPr>
        <w:t xml:space="preserve">Why this step matters: </w:t>
      </w:r>
      <w:r>
        <w:rPr>
          <w:i/>
        </w:rPr>
        <w:t>Construction noise, vibration or dust spreading into a live ward without a risk assessment first is exactly how patients get harmed by work that was meant to make things better — this record proves the assessment happened before, not after, work started. NABH checks this as part of how a genuinely safe physical environment actually runs, not just what's written about it.</w:t>
      </w:r>
    </w:p>
    <w:p>
      <w:r>
        <w:t>1. Before any construction, renovation or expansion work starts, carry out and date a risk assessment covering noise, vibration and infection-prevention impact on nearby patient-care areas, following the structural and fire-life-safety planning principles in the National Building Code of India, Part 4.</w:t>
      </w:r>
    </w:p>
    <w:p>
      <w:r>
        <w:t>2. Get the Engineering In-Charge's sign-off on that risk assessment before work actually begins — not partway through.</w:t>
      </w:r>
    </w:p>
    <w:p>
      <w:r>
        <w:t>3. Cross-reference the construction-phase infection-control measures being applied alongside this (covered under the hospital's IPC policy) so the two aren't managed as unconnected activities. (Records 13–15)</w:t>
      </w:r>
    </w:p>
    <w:p>
      <w:r>
        <w:rPr>
          <w:b/>
          <w:i/>
          <w:sz w:val="18"/>
        </w:rPr>
        <w:t xml:space="preserve">Technical source(s) for these steps: </w:t>
      </w:r>
    </w:p>
    <w:p>
      <w:pPr>
        <w:pStyle w:val="ListParagraph"/>
      </w:pPr>
      <w:hyperlink r:id="rId11">
        <w:r>
          <w:rPr>
            <w:color w:val="0563C1"/>
            <w:u w:val="single"/>
          </w:rPr>
          <w:t>Bureau of Indian Standards — National Building Code of India 2016, Part 4: Fire and Life Safety.</w:t>
        </w:r>
      </w:hyperlink>
    </w:p>
    <w:p>
      <w:pPr>
        <w:pStyle w:val="Heading1"/>
      </w:pPr>
      <w:r>
        <w:t>6. Records</w:t>
      </w:r>
    </w:p>
    <w:p>
      <w:r>
        <w:t>This SOP produces and maintains Records 1 through 15 (see the FMS.1 Records folder).</w:t>
      </w:r>
    </w:p>
    <w:p>
      <w:pPr>
        <w:pStyle w:val="Heading1"/>
      </w:pPr>
      <w:r>
        <w:t>7. Related Documents</w:t>
      </w:r>
    </w:p>
    <w:p>
      <w:pPr>
        <w:pStyle w:val="ListParagraph"/>
      </w:pPr>
      <w:r>
        <w:t>Policy on Safe and Secure Environment (HCO/FMS/POL/01) — this policy</w:t>
      </w:r>
    </w:p>
    <w:p>
      <w:pPr>
        <w:pStyle w:val="ListParagraph"/>
      </w:pPr>
      <w:r>
        <w:t>Required Records — FMS.1 (see FMS.1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FMS.1.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Facility Manager, and immediately if an incident, audit or drill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fpa.org/product/nfpa-101-life-safety-code/p0101code" TargetMode="External"/><Relationship Id="rId10" Type="http://schemas.openxmlformats.org/officeDocument/2006/relationships/hyperlink" Target="https://ccpd.nic.in/harmonized-guidelines-for-standards-of-accessibility/" TargetMode="External"/><Relationship Id="rId11" Type="http://schemas.openxmlformats.org/officeDocument/2006/relationships/hyperlink" Target="https://fireandsafetyequipments.com/wp-content/uploads/2018/09/NBC2016-Part-IV.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