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Planned Facilities and Environment-Friendly Measures</w:t>
      </w:r>
    </w:p>
    <w:p>
      <w:r>
        <w:t>«Hospital Name» — Supports FMS.2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policy sets out how «Hospital Name» keeps its environment and facilities operating in a planned, environment-friendly manner. It covers: Ensuring facilities and space match the services provided Keeping as-built drawings current Maintaining comprehensible signage Providing potable water and electricity around the clock Providing and regularly testing backup sources for both This policy covers planned facilities and environment-friendly measures specifically. Related duties — like patient assessment, clinical care, medication management, patient rights, infection control, quality and safety monitoring, or hospital governance — are covered in the hospital's other policies, not repeated here. Words marked like this are defaults. A blank marked ________ must be filled before issue. If you're new to this SOP, the short version is: follow the numbered steps below in order — they exist because skipping one of them is exactly how a facility hazard goes unnoticed until it hurts someone.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policy sets out how «Hospital Name» keeps its environment and facilities operating in a planned, environment-friendly manner. It covers: Ensuring facilities and space match the services provided Keeping as-built drawings current Maintaining comprehensible signage Providing potable water and electricity around the clock Providing and regularly testing backup sources for both This policy covers planned facilities and environment-friendly measures specifically. Related duties — like patient assessment, clinical care, medication management, patient rights, infection control, quality and safety monitoring, or hospital governance — are covered in the hospital's other policies, not repeated here. Words marked like this are defaults. A blank marked ________ must be filled before issue.</w:t>
      </w:r>
    </w:p>
    <w:p>
      <w:pPr>
        <w:pStyle w:val="Heading1"/>
      </w:pPr>
      <w:r>
        <w:t>2. Scope</w:t>
      </w:r>
    </w:p>
    <w:p>
      <w:r>
        <w:t>This policy applies to «Hospital Name» staff involved in facilities, utilities, medical gases, and fire or non-fire emergencies, including: Engineering, biomedical, nursing and departmental leaders The Engineering In-Charge The Medical Superintendent Departmental leaders The Quality Coordinator This policy covers planned facilities and environment-friendly measures specifically. Related duties are covered in the hospital's other policies, not repeated here, including: Patient assessment Clinical care Medication management Patient rights Infection control Quality and safety monitoring Hospital governance</w:t>
      </w:r>
    </w:p>
    <w:p>
      <w:pPr>
        <w:pStyle w:val="Heading1"/>
      </w:pPr>
      <w:r>
        <w:t>3. Responsibility</w:t>
      </w:r>
    </w:p>
    <w:p>
      <w:r>
        <w:t xml:space="preserve">Facility Manager / Engineering In-Charge: </w:t>
      </w:r>
      <w:r>
        <w:t>owns the equipment, inventories, inspection schedules and maintenance plans this policy requires, and keeps the required records current.</w:t>
      </w:r>
    </w:p>
    <w:p>
      <w:r>
        <w:t xml:space="preserve">Medical Superintendent: </w:t>
      </w:r>
      <w:r>
        <w:t>escalation point for any gap not being closed, and signs off risk assessments before major facility work.</w:t>
      </w:r>
    </w:p>
    <w:p>
      <w:r>
        <w:t xml:space="preserve">Quality Coordinator: </w:t>
      </w:r>
      <w:r>
        <w:t>audits this policy periodically, checks records against the steps below, and flags gaps for corrective action.</w:t>
      </w:r>
    </w:p>
    <w:p>
      <w:r>
        <w:t xml:space="preserve">Department Heads / Nursing In-charges: </w:t>
      </w:r>
      <w:r>
        <w:t>report facility hazards or equipment issues in their own area promptly and support inspection rounds.</w:t>
      </w:r>
    </w:p>
    <w:p>
      <w:pPr>
        <w:pStyle w:val="Heading1"/>
      </w:pPr>
      <w:r>
        <w:t>4. Plain-Language Glossary</w:t>
      </w:r>
    </w:p>
    <w:p>
      <w:r>
        <w:t>If a word below is unfamiliar, this is what it means in this SOP:</w:t>
      </w:r>
    </w:p>
    <w:p>
      <w:pPr>
        <w:pStyle w:val="ListParagraph"/>
      </w:pPr>
      <w:r>
        <w:rPr>
          <w:b/>
        </w:rPr>
        <w:t xml:space="preserve">NFPA: </w:t>
      </w:r>
      <w:r>
        <w:t>The National Fire Protection Association — a US-based body whose fire and life-safety codes (like NFPA 101 and NFPA 99) are widely used worldwide, including as a reference standard in Indian hospital fire-safety planning.</w:t>
      </w:r>
    </w:p>
    <w:p>
      <w:pPr>
        <w:pStyle w:val="ListParagraph"/>
      </w:pPr>
      <w:r>
        <w:rPr>
          <w:b/>
        </w:rPr>
        <w:t xml:space="preserve">National Building Code (NBC): </w:t>
      </w:r>
      <w:r>
        <w:t>India's national reference code (published by the Bureau of Indian Standards) covering building design, including fire and life safety.</w:t>
      </w:r>
    </w:p>
    <w:p>
      <w:pPr>
        <w:pStyle w:val="ListParagraph"/>
      </w:pPr>
      <w:r>
        <w:rPr>
          <w:b/>
        </w:rPr>
        <w:t xml:space="preserve">IS 10500: </w:t>
      </w:r>
      <w:r>
        <w:t>India's national drinking-water quality standard, specifying the biochemical and microbiological limits water must meet.</w:t>
      </w:r>
    </w:p>
    <w:p>
      <w:pPr>
        <w:pStyle w:val="Heading1"/>
      </w:pPr>
      <w:r>
        <w:t>5. Procedure</w:t>
      </w:r>
    </w:p>
    <w:p>
      <w:pPr>
        <w:pStyle w:val="Heading2"/>
      </w:pPr>
      <w:r>
        <w:t>5.1 Facilities and space provisions are appropriate to the scope of services</w:t>
      </w:r>
    </w:p>
    <w:p>
      <w:r>
        <w:rPr>
          <w:b/>
          <w:i/>
        </w:rPr>
        <w:t xml:space="preserve">Why this step matters: </w:t>
      </w:r>
      <w:r>
        <w:rPr>
          <w:i/>
        </w:rPr>
        <w:t>A department squeezed into space that doesn't match what it actually does is a safety and quality problem hiding behind a floor plan — this record proves space was actually checked against real service scope. NABH checks this as part of how a genuinely safe physical environment actually runs, not just what's written about it.</w:t>
      </w:r>
    </w:p>
    <w:p>
      <w:r>
        <w:t>1. Map the space actually available for each department against the services that department is expected to provide, and flag any mismatch.</w:t>
      </w:r>
    </w:p>
    <w:p>
      <w:r>
        <w:t>2. Where a national or international guidance document sets a specific space or layout requirement for a service (for example AERB guidance for a radiation area), use that document's actual figures rather than an internal estimate.</w:t>
      </w:r>
    </w:p>
    <w:p>
      <w:r>
        <w:t>3. Escalate any service found listed with no matching space, rather than letting the mismatch stand unaddressed. (Records 1–3)</w:t>
      </w:r>
    </w:p>
    <w:p>
      <w:pPr>
        <w:pStyle w:val="Heading2"/>
      </w:pPr>
      <w:r>
        <w:t>5.2 As built and updated drawings are maintained as per statutory requirements.</w:t>
      </w:r>
    </w:p>
    <w:p>
      <w:r>
        <w:rPr>
          <w:b/>
          <w:i/>
        </w:rPr>
        <w:t xml:space="preserve">Why this step matters: </w:t>
      </w:r>
      <w:r>
        <w:rPr>
          <w:i/>
        </w:rPr>
        <w:t>Fighting a fire or a burst pipe with an out-of-date drawing costs the minutes that matter most — this record proves the drawings on file actually match the building as it stands today. NABH checks this as part of how a genuinely safe physical environment actually runs, not just what's written about it.</w:t>
      </w:r>
    </w:p>
    <w:p>
      <w:r>
        <w:t>1. Maintain one current as-built drawing set — site layout, floor plans, floor-wise evacuation plans, and the separate civil, electrical, ELV, plumbing, HVAC, medical-gas and IT drawings — matching the statutory building-approval requirement for this site.</w:t>
      </w:r>
    </w:p>
    <w:p>
      <w:r>
        <w:t>2. Name a single custodian responsible for keeping the drawing set current.</w:t>
      </w:r>
    </w:p>
    <w:p>
      <w:r>
        <w:t>3. Update the drawings whenever a real facility change happens, and log the date of that update against the specific change — a drawing set nobody has touched in years after several renovations is not 'as-built' any more. (Records 4–6)</w:t>
      </w:r>
    </w:p>
    <w:p>
      <w:pPr>
        <w:pStyle w:val="Heading2"/>
      </w:pPr>
      <w:r>
        <w:t>5.3 There are internal and external sign postings in the organisation in a manner understood by the patient, families and community.</w:t>
      </w:r>
    </w:p>
    <w:p>
      <w:r>
        <w:rPr>
          <w:b/>
          <w:i/>
        </w:rPr>
        <w:t xml:space="preserve">Why this step matters: </w:t>
      </w:r>
      <w:r>
        <w:rPr>
          <w:i/>
        </w:rPr>
        <w:t>Signage nobody can actually read or understand doesn't help a frightened family find the OT in an emergency — this record proves the signs are real, checked and in a form people actually understand. This is a CORE requirement — NABH treats it as non-negotiable, not aspirational.</w:t>
      </w:r>
    </w:p>
    <w:p>
      <w:r>
        <w:t>1. Walk the facility and inventory every sign by area, noting the language(s) used, whether it also uses pictorial/tactile elements, and whether it needs bilingual coverage for this hospital's actual patient population — following the inclusive-signage principles in the Harmonized Guidelines for Standards of Accessibility.</w:t>
      </w:r>
    </w:p>
    <w:p>
      <w:r>
        <w:t>2. Check signage against whatever statutory posting requirement applies to this specific site (fire-exit signage, radiation-area signage, etc.).</w:t>
      </w:r>
    </w:p>
    <w:p>
      <w:r>
        <w:t>3. Repeat the signage walk at least quarterly and keep that record — signage gets removed, damaged or blocked more often than people expect. (Records 7–9)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Office of the Chief Commissioner for Persons with Disabilities, Government of India — Harmonized Guidelines and Space Standards for Barrier-Free Built Environment.</w:t>
        </w:r>
      </w:hyperlink>
    </w:p>
    <w:p>
      <w:pPr>
        <w:pStyle w:val="Heading2"/>
      </w:pPr>
      <w:r>
        <w:t>5.4 Potable water and electricity are available round the clock</w:t>
      </w:r>
    </w:p>
    <w:p>
      <w:r>
        <w:rPr>
          <w:b/>
          <w:i/>
        </w:rPr>
        <w:t xml:space="preserve">Why this step matters: </w:t>
      </w:r>
      <w:r>
        <w:rPr>
          <w:i/>
        </w:rPr>
        <w:t>Water or power that quietly falls short of standard is invisible until a patient is harmed by it — this record proves it was actually tested, not just assumed safe. This is a CORE requirement — NABH treats it as non-negotiable, not aspirational.</w:t>
      </w:r>
    </w:p>
    <w:p>
      <w:r>
        <w:t>1. Test the hospital's potable water against IS 10500 — biochemical parameters at least quarterly, microbiological parameters at least monthly — and keep the results, not just a 'water is fine' assumption.</w:t>
      </w:r>
    </w:p>
    <w:p>
      <w:r>
        <w:t>2. Where dialysis is in scope, additionally test the reverse-osmosis inlet water for endotoxin, since dialysis water has a stricter safety requirement than general potable water.</w:t>
      </w:r>
    </w:p>
    <w:p>
      <w:r>
        <w:t>3. Log every unplanned water or power outage in a care area and confirm the emergency continuity plan actually activated — a continuity plan that exists but never actually switches on when needed is not meeting this. (Records 10–12)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Bureau of Indian Standards (2012). IS 10500:2012 — Drinking Water — Specification (Second Revision).</w:t>
        </w:r>
      </w:hyperlink>
    </w:p>
    <w:p>
      <w:pPr>
        <w:pStyle w:val="Heading2"/>
      </w:pPr>
      <w:r>
        <w:t>5.5 Alternate sources for electricity and water are provided as a backup for any failure / shortage.</w:t>
      </w:r>
    </w:p>
    <w:p>
      <w:r>
        <w:rPr>
          <w:b/>
          <w:i/>
        </w:rPr>
        <w:t xml:space="preserve">Why this step matters: </w:t>
      </w:r>
      <w:r>
        <w:rPr>
          <w:i/>
        </w:rPr>
        <w:t>A backup source that exists on paper but was never sized against real demand fails exactly when the primary source does — this record proves the backup can genuinely carry the load. NABH checks this as part of how a genuinely safe physical environment actually runs, not just what's written about it.</w:t>
      </w:r>
    </w:p>
    <w:p>
      <w:r>
        <w:t>1. Name every backup source the hospital actually has — diesel generator, solar, UPS, bore-well/tanker/extra storage tanks — in one inventory, matched to the emergency and standby power planning approach in NFPA 110.</w:t>
      </w:r>
    </w:p>
    <w:p>
      <w:r>
        <w:t>2. Calculate the electrical load each backup source needs to cover and check it against actual critical-area demand — a generator too small for the real load is not a working backup.</w:t>
      </w:r>
    </w:p>
    <w:p>
      <w:r>
        <w:t>3. Name, for each critical area, exactly which backup path covers it, so nobody has to work that out during an actual failure. (Records 13–15)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11">
        <w:r>
          <w:rPr>
            <w:color w:val="0563C1"/>
            <w:u w:val="single"/>
          </w:rPr>
          <w:t>National Fire Protection Association — NFPA 110, Standard for Emergency and Standby Power Systems.</w:t>
        </w:r>
      </w:hyperlink>
    </w:p>
    <w:p>
      <w:pPr>
        <w:pStyle w:val="Heading2"/>
      </w:pPr>
      <w:r>
        <w:t>5.6 The organisation tests the functioning of these alternate sources at a predefined frequency.</w:t>
      </w:r>
    </w:p>
    <w:p>
      <w:r>
        <w:rPr>
          <w:b/>
          <w:i/>
        </w:rPr>
        <w:t xml:space="preserve">Why this step matters: </w:t>
      </w:r>
      <w:r>
        <w:rPr>
          <w:i/>
        </w:rPr>
        <w:t>A backup generator nobody has actually started in months is a backup in name only — this record proves it was tested for real, on schedule. NABH checks this as part of how a genuinely safe physical environment actually runs, not just what's written about it.</w:t>
      </w:r>
    </w:p>
    <w:p>
      <w:r>
        <w:t>1. Test every backup source at a fixed, predefined frequency (default monthly for a diesel generator, following NFPA 110's testing discipline for standby power systems) — an untested backup is a backup you're only hoping works.</w:t>
      </w:r>
    </w:p>
    <w:p>
      <w:r>
        <w:t>2. Where an emergency water source was actually used on any occasion, keep a water-acceptance test record for that occasion specifically.</w:t>
      </w:r>
    </w:p>
    <w:p>
      <w:r>
        <w:t>3. Where a test fails, open a corrective-action record and re-test after the fix — don't just note the failure and move on. (Records 16–18)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11">
        <w:r>
          <w:rPr>
            <w:color w:val="0563C1"/>
            <w:u w:val="single"/>
          </w:rPr>
          <w:t>National Fire Protection Association — NFPA 110, Standard for Emergency and Standby Power Systems.</w:t>
        </w:r>
      </w:hyperlink>
    </w:p>
    <w:p>
      <w:pPr>
        <w:pStyle w:val="Heading1"/>
      </w:pPr>
      <w:r>
        <w:t>6. Records</w:t>
      </w:r>
    </w:p>
    <w:p>
      <w:r>
        <w:t>This SOP produces and maintains Records 1 through 18 (see the FMS.2 Records folder).</w:t>
      </w:r>
    </w:p>
    <w:p>
      <w:pPr>
        <w:pStyle w:val="Heading1"/>
      </w:pPr>
      <w:r>
        <w:t>7. Related Documents</w:t>
      </w:r>
    </w:p>
    <w:p>
      <w:pPr>
        <w:pStyle w:val="ListParagraph"/>
      </w:pPr>
      <w:r>
        <w:t>Policy on Planned Facilities and Environment-Friendly Measures (HCO/FMS/POL/02) — this policy</w:t>
      </w:r>
    </w:p>
    <w:p>
      <w:pPr>
        <w:pStyle w:val="ListParagraph"/>
      </w:pPr>
      <w:r>
        <w:t>Required Records — FMS.2 (see FMS.2 Records folder)</w:t>
      </w:r>
    </w:p>
    <w:p>
      <w:pPr>
        <w:pStyle w:val="Heading1"/>
      </w:pPr>
      <w:r>
        <w:t>8. Where This SOP's Requirements Come From (Verified Sources)</w:t>
      </w:r>
    </w:p>
    <w:p>
      <w:pPr>
        <w:pStyle w:val="ListParagraph"/>
      </w:pPr>
      <w:r>
        <w:rPr>
          <w:i/>
        </w:rPr>
        <w:t>National Accreditation Board for Hospitals and Healthcare Providers. (2025). NABH accreditation standards for hospitals (6th ed.), FMS.2. ISBN 978-81-965264-9-8. https://portal.nabh.co/images/Standards/NABH%20Hospital%20Accreditation%20Standard%206th%20Edition%20January%202025.pdf</w:t>
      </w:r>
    </w:p>
    <w:p>
      <w:pPr>
        <w:pStyle w:val="Heading1"/>
      </w:pPr>
      <w:r>
        <w:t>9. Review</w:t>
      </w:r>
    </w:p>
    <w:p>
      <w:r>
        <w:t>This SOP is reviewed at least annually by the Quality Coordinator together with the Facility Manager, and immediately if an incident, audit or drill finds it isn't working as written.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cpd.nic.in/harmonized-guidelines-for-standards-of-accessibility/" TargetMode="External"/><Relationship Id="rId10" Type="http://schemas.openxmlformats.org/officeDocument/2006/relationships/hyperlink" Target="https://law.resource.org/pub/in/bis/S06/is.10500.2012.pdf" TargetMode="External"/><Relationship Id="rId11" Type="http://schemas.openxmlformats.org/officeDocument/2006/relationships/hyperlink" Target="https://www.nfpa.org/product/nfpa-110-standard/p0110co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