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Safety of Patients, Families, Staff and Visitors</w:t>
      </w:r>
    </w:p>
    <w:p>
      <w:r>
        <w:t>«Hospital Name» — Supports FMS.3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keeps its environment and facilities safe for patients, families, staff and visitors. It covers: Controlling access to high-security areas Identifying and safely managing hazardous materials Implementing spill-response plans Conducting electrical safety audits Managing material not in use This policy covers safety of patients, families, staff and visitors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 If you're new to this SOP, the short version is: follow the numbered steps below in order — they exist because skipping one of them is exactly how a facility hazard goes unnoticed until it hurts someone.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keeps its environment and facilities safe for patients, families, staff and visitors. It covers: Controlling access to high-security areas Identifying and safely managing hazardous materials Implementing spill-response plans Conducting electrical safety audits Managing material not in use This policy covers safety of patients, families, staff and visitors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w:t>
      </w:r>
    </w:p>
    <w:p>
      <w:pPr>
        <w:pStyle w:val="Heading1"/>
      </w:pPr>
      <w:r>
        <w:t>2. Scope</w:t>
      </w:r>
    </w:p>
    <w:p>
      <w:r>
        <w:t>This policy applies to «Hospital Name» staff involved in facilities, utilities, medical gases, and fire or non-fire emergencies, including: Engineering, biomedical, nursing and departmental leaders The Engineering In-Charge The Medical Superintendent Departmental leaders The Quality Coordinator This policy covers safety of patients, families, staff and visitors specifically. Related duties are covered in the hospital's other policies, not repeated here, including: Patient assessment Clinical care Medication management Patient rights Infection control Quality and safety monitoring Hospital governance</w:t>
      </w:r>
    </w:p>
    <w:p>
      <w:pPr>
        <w:pStyle w:val="Heading1"/>
      </w:pPr>
      <w:r>
        <w:t>3. Responsibility</w:t>
      </w:r>
    </w:p>
    <w:p>
      <w:r>
        <w:t xml:space="preserve">Facility Manager / Engineering In-Charge: </w:t>
      </w:r>
      <w:r>
        <w:t>owns the equipment, inventories, inspection schedules and maintenance plans this policy requires, and keeps the required records current.</w:t>
      </w:r>
    </w:p>
    <w:p>
      <w:r>
        <w:t xml:space="preserve">Medical Superintendent: </w:t>
      </w:r>
      <w:r>
        <w:t>escalation point for any gap not being closed, and signs off risk assessments before major facility work.</w:t>
      </w:r>
    </w:p>
    <w:p>
      <w:r>
        <w:t xml:space="preserve">Quality Coordinator: </w:t>
      </w:r>
      <w:r>
        <w:t>audits this policy periodically, checks records against the steps below, and flags gaps for corrective action.</w:t>
      </w:r>
    </w:p>
    <w:p>
      <w:r>
        <w:t xml:space="preserve">Department Heads / Nursing In-charges: </w:t>
      </w:r>
      <w:r>
        <w:t>report facility hazards or equipment issues in their own area promptly and support inspection rounds.</w:t>
      </w:r>
    </w:p>
    <w:p>
      <w:pPr>
        <w:pStyle w:val="Heading1"/>
      </w:pPr>
      <w:r>
        <w:t>4. Plain-Language Glossary</w:t>
      </w:r>
    </w:p>
    <w:p>
      <w:r>
        <w:t>If a word below is unfamiliar, this is what it means in this SOP:</w:t>
      </w:r>
    </w:p>
    <w:p>
      <w:pPr>
        <w:pStyle w:val="ListParagraph"/>
      </w:pPr>
      <w:r>
        <w:rPr>
          <w:b/>
        </w:rPr>
        <w:t xml:space="preserve">Condemnation: </w:t>
      </w:r>
      <w:r>
        <w:t>The formal decision that a piece of equipment or material is no longer fit for use and should be taken out of service and disposed of.</w:t>
      </w:r>
    </w:p>
    <w:p>
      <w:pPr>
        <w:pStyle w:val="ListParagraph"/>
      </w:pPr>
      <w:r>
        <w:rPr>
          <w:b/>
        </w:rPr>
        <w:t xml:space="preserve">MSDS (Material Safety Data Sheet): </w:t>
      </w:r>
      <w:r>
        <w:t>A standard information sheet for a hazardous material, describing its risks and exactly how to handle, store and dispose of it safely.</w:t>
      </w:r>
    </w:p>
    <w:p>
      <w:pPr>
        <w:pStyle w:val="ListParagraph"/>
      </w:pPr>
      <w:r>
        <w:rPr>
          <w:b/>
        </w:rPr>
        <w:t xml:space="preserve">IS 1893: </w:t>
      </w:r>
      <w:r>
        <w:t>India's national code specifying how buildings should be designed to withstand earthquakes, based on the seismic zone they're built in.</w:t>
      </w:r>
    </w:p>
    <w:p>
      <w:pPr>
        <w:pStyle w:val="Heading1"/>
      </w:pPr>
      <w:r>
        <w:t>5. Procedure</w:t>
      </w:r>
    </w:p>
    <w:p>
      <w:pPr>
        <w:pStyle w:val="Heading2"/>
      </w:pPr>
      <w:r>
        <w:t>5.1 Operational planning identifies areas which need to have extra security and describes access to different areas in the hospital by staff, patients, and visitors.</w:t>
      </w:r>
    </w:p>
    <w:p>
      <w:r>
        <w:rPr>
          <w:b/>
          <w:i/>
        </w:rPr>
        <w:t xml:space="preserve">Why this step matters: </w:t>
      </w:r>
      <w:r>
        <w:rPr>
          <w:i/>
        </w:rPr>
        <w:t>A hospital with no real plan for who can go where is an easy target for exactly the kind of incident — infant abduction, unauthorised OT access — that a written access plan is meant to prevent. NABH checks this as part of how a genuinely safe physical environment actually runs, not just what's written about it.</w:t>
      </w:r>
    </w:p>
    <w:p>
      <w:r>
        <w:t>1. Write a security operational plan naming the areas that genuinely need extra security — operating theatre, ICU/NICU, labour room, emergency — and stating exactly who (staff, patient, visitor) can access each area and how.</w:t>
      </w:r>
    </w:p>
    <w:p>
      <w:r>
        <w:t>2. Identify vulnerable spots — dark corners, long unmonitored corridors — and record the control in place for each (CCTV coverage or an equivalent measure).</w:t>
      </w:r>
    </w:p>
    <w:p>
      <w:r>
        <w:t>3. Review and update the security plan periodically, and keep that review on record. (Records 1–3)</w:t>
      </w:r>
    </w:p>
    <w:p>
      <w:pPr>
        <w:pStyle w:val="Heading2"/>
      </w:pPr>
      <w:r>
        <w:t>5.2 Patient safety aspects in terms of structural safety of hospitals, especially of critical areas are considered while planning, design and construction of new hospitals and re-planning, assessment and retrofitting of existing hospitals.</w:t>
      </w:r>
    </w:p>
    <w:p>
      <w:r>
        <w:rPr>
          <w:b/>
          <w:i/>
        </w:rPr>
        <w:t xml:space="preserve">Why this step matters: </w:t>
      </w:r>
      <w:r>
        <w:rPr>
          <w:i/>
        </w:rPr>
        <w:t>A building that looks fine but was never actually checked against a real seismic or structural standard is a collapse risk waiting for the right event — this record proves a real standard was genuinely applied to real construction work. NABH checks this as part of how a genuinely safe physical environment actually runs, not just what's written about it.</w:t>
      </w:r>
    </w:p>
    <w:p>
      <w:r>
        <w:t>1. For any new construction, re-planning or retrofit project, identify and apply the actual structural-safety design code that applies — for seismic design in India, that is IS 1893 Part 1 — and record which reference was used for that specific project, not a generic statement that 'codes were followed.'</w:t>
      </w:r>
    </w:p>
    <w:p>
      <w:r>
        <w:t>2. Get an engineering sign-off specifically for that project, tied to the design reference actually used.</w:t>
      </w:r>
    </w:p>
    <w:p>
      <w:r>
        <w:t>3. Keep evidence that the code was applied to the real building work — drawings, calculations, inspection notes — not just a policy statement that it should be. (Records 4–6)</w:t>
      </w:r>
    </w:p>
    <w:p>
      <w:pPr>
        <w:pStyle w:val="Heading2"/>
      </w:pPr>
      <w:r>
        <w:t>5.3 The organisation conducts electrical safety audits for the facility</w:t>
      </w:r>
    </w:p>
    <w:p>
      <w:r>
        <w:rPr>
          <w:b/>
          <w:i/>
        </w:rPr>
        <w:t xml:space="preserve">Why this step matters: </w:t>
      </w:r>
      <w:r>
        <w:rPr>
          <w:i/>
        </w:rPr>
        <w:t>A loose electrical connection is invisible until it starts a fire — this record proves the audit actually found and fixed real faults, not that a form was filled in. NABH checks this as part of how a genuinely safe physical environment actually runs, not just what's written about it.</w:t>
      </w:r>
    </w:p>
    <w:p>
      <w:r>
        <w:t>1. Commission a full electrical safety audit at least annually, following the inspection framework in the Central Electricity Authority's safety regulations, including thermal-imaging or equivalent testing to catch developing faults before they cause a fire.</w:t>
      </w:r>
    </w:p>
    <w:p>
      <w:r>
        <w:t>2. Record which specific method or code was used for the audit — don't just write 'electrical audit done.'</w:t>
      </w:r>
    </w:p>
    <w:p>
      <w:r>
        <w:t>3. Track every audit finding through to a completed corrective action, and keep that action record. (Records 7–9)</w:t>
      </w:r>
    </w:p>
    <w:p>
      <w:r>
        <w:rPr>
          <w:b/>
          <w:i/>
          <w:sz w:val="18"/>
        </w:rPr>
        <w:t xml:space="preserve">Technical source(s) for these steps: </w:t>
      </w:r>
    </w:p>
    <w:p>
      <w:pPr>
        <w:pStyle w:val="ListParagraph"/>
      </w:pPr>
      <w:hyperlink r:id="rId9">
        <w:r>
          <w:rPr>
            <w:color w:val="0563C1"/>
            <w:u w:val="single"/>
          </w:rPr>
          <w:t>Central Electricity Authority, Government of India — Measures Relating to Safety and Electric Supply Regulations, 2010 (as amended).</w:t>
        </w:r>
      </w:hyperlink>
    </w:p>
    <w:p>
      <w:pPr>
        <w:pStyle w:val="Heading2"/>
      </w:pPr>
      <w:r>
        <w:t>5.4 There is a procedure which addresses the identification and disposal of material(s) not in use in the organisation.</w:t>
      </w:r>
    </w:p>
    <w:p>
      <w:r>
        <w:rPr>
          <w:b/>
          <w:i/>
        </w:rPr>
        <w:t xml:space="preserve">Why this step matters: </w:t>
      </w:r>
      <w:r>
        <w:rPr>
          <w:i/>
        </w:rPr>
        <w:t>Unused material piling up unmanaged becomes a fire load, a trip hazard, or a home for pests — this record proves it's actually being identified and disposed of, not just accumulating. NABH checks this as part of how a genuinely safe physical environment actually runs, not just what's written about it.</w:t>
      </w:r>
    </w:p>
    <w:p>
      <w:r>
        <w:t>1. Write a procedure describing exactly how unused material is identified and how it gets disposed of, distinguishing ordinary asset disposal from anything that is also hazardous waste under the Hazardous and Other Wastes Rules.</w:t>
      </w:r>
    </w:p>
    <w:p>
      <w:r>
        <w:t>2. Log every item condemned — what it was, the date, and the disposal method actually used — in a condemnation register.</w:t>
      </w:r>
    </w:p>
    <w:p>
      <w:r>
        <w:t>3. Get Engineering In-Charge sign-off on the register, so disposal isn't happening without oversight. (Records 10–12)</w:t>
      </w:r>
    </w:p>
    <w:p>
      <w:r>
        <w:rPr>
          <w:b/>
          <w:i/>
          <w:sz w:val="18"/>
        </w:rPr>
        <w:t xml:space="preserve">Technical source(s) for these steps: </w:t>
      </w:r>
    </w:p>
    <w:p>
      <w:pPr>
        <w:pStyle w:val="ListParagraph"/>
      </w:pPr>
      <w:hyperlink r:id="rId10">
        <w:r>
          <w:rPr>
            <w:color w:val="0563C1"/>
            <w:u w:val="single"/>
          </w:rPr>
          <w:t>Ministry of Environment, Forest and Climate Change, Government of India (2016). Hazardous and Other Wastes (Management and Transboundary Movement) Rules, 2016 (as amended).</w:t>
        </w:r>
      </w:hyperlink>
    </w:p>
    <w:p>
      <w:pPr>
        <w:pStyle w:val="Heading2"/>
      </w:pPr>
      <w:r>
        <w:t>5.5 Hazardous materials are identified and used safely within the organisation.</w:t>
      </w:r>
    </w:p>
    <w:p>
      <w:r>
        <w:rPr>
          <w:b/>
          <w:i/>
        </w:rPr>
        <w:t xml:space="preserve">Why this step matters: </w:t>
      </w:r>
      <w:r>
        <w:rPr>
          <w:i/>
        </w:rPr>
        <w:t>A hazardous material nobody has documented properly is a hazardous material nobody can respond to safely in an emergency — this record is what makes the risk manageable rather than invisible. This is a CORE requirement — NABH treats it as non-negotiable, not aspirational.</w:t>
      </w:r>
    </w:p>
    <w:p>
      <w:r>
        <w:t>1. Build and keep current a hazardous-materials inventory covering everything the hospital actually holds — chemicals, blood/cultures, mercury, isotopes, medical gases, LPG, steam, ethylene oxide — following the Hazardous and Other Wastes (Management and Transboundary Movement) Rules, 2016 for classification and handling.</w:t>
      </w:r>
    </w:p>
    <w:p>
      <w:r>
        <w:t>2. Keep a Material Safety Data Sheet on file for every identified material, not just the ones staff ask about.</w:t>
      </w:r>
    </w:p>
    <w:p>
      <w:r>
        <w:t>3. For a sample of materials, check and record that handling, storage, transport and disposal actually match what the MSDS and the law require. (Records 13–15)</w:t>
      </w:r>
    </w:p>
    <w:p>
      <w:r>
        <w:rPr>
          <w:b/>
          <w:i/>
          <w:sz w:val="18"/>
        </w:rPr>
        <w:t xml:space="preserve">Technical source(s) for these steps: </w:t>
      </w:r>
    </w:p>
    <w:p>
      <w:pPr>
        <w:pStyle w:val="ListParagraph"/>
      </w:pPr>
      <w:hyperlink r:id="rId10">
        <w:r>
          <w:rPr>
            <w:color w:val="0563C1"/>
            <w:u w:val="single"/>
          </w:rPr>
          <w:t>Ministry of Environment, Forest and Climate Change, Government of India (2016). Hazardous and Other Wastes (Management and Transboundary Movement) Rules, 2016 (as amended).</w:t>
        </w:r>
      </w:hyperlink>
    </w:p>
    <w:p>
      <w:pPr>
        <w:pStyle w:val="Heading2"/>
      </w:pPr>
      <w:r>
        <w:t>5.6 The plan for managing spills of hazardous materials is implemented</w:t>
      </w:r>
    </w:p>
    <w:p>
      <w:r>
        <w:rPr>
          <w:b/>
          <w:i/>
        </w:rPr>
        <w:t xml:space="preserve">Why this step matters: </w:t>
      </w:r>
      <w:r>
        <w:rPr>
          <w:i/>
        </w:rPr>
        <w:t>A spill plan that exists only as a policy document, with no kit and no trained staff on the actual floor, fails at exactly the moment a real spill happens — this record proves the plan was genuinely put into practice. NABH checks this as part of how a genuinely safe physical environment actually runs, not just what's written about it.</w:t>
      </w:r>
    </w:p>
    <w:p>
      <w:r>
        <w:t>1. Keep a summarised MSDS physically accessible on the floor where each hazardous material is actually stored — not filed away in an office nobody can reach quickly during a spill.</w:t>
      </w:r>
    </w:p>
    <w:p>
      <w:r>
        <w:t>2. Inventory the spill kits available for hazardous materials and log exactly where each one is located.</w:t>
      </w:r>
    </w:p>
    <w:p>
      <w:r>
        <w:t>3. Train every staff member who handles a hazardous material in that material's specific spill response, and keep the training record. (Records 16–18)</w:t>
      </w:r>
    </w:p>
    <w:p>
      <w:r>
        <w:rPr>
          <w:b/>
          <w:i/>
          <w:sz w:val="18"/>
        </w:rPr>
        <w:t xml:space="preserve">Technical source(s) for these steps: </w:t>
      </w:r>
    </w:p>
    <w:p>
      <w:pPr>
        <w:pStyle w:val="ListParagraph"/>
      </w:pPr>
      <w:hyperlink r:id="rId10">
        <w:r>
          <w:rPr>
            <w:color w:val="0563C1"/>
            <w:u w:val="single"/>
          </w:rPr>
          <w:t>Ministry of Environment, Forest and Climate Change, Government of India (2016). Hazardous and Other Wastes (Management and Transboundary Movement) Rules, 2016 (as amended).</w:t>
        </w:r>
      </w:hyperlink>
    </w:p>
    <w:p>
      <w:pPr>
        <w:pStyle w:val="Heading1"/>
      </w:pPr>
      <w:r>
        <w:t>6. Records</w:t>
      </w:r>
    </w:p>
    <w:p>
      <w:r>
        <w:t>This SOP produces and maintains Records 1 through 18 (see the FMS.3 Records folder).</w:t>
      </w:r>
    </w:p>
    <w:p>
      <w:pPr>
        <w:pStyle w:val="Heading1"/>
      </w:pPr>
      <w:r>
        <w:t>7. Related Documents</w:t>
      </w:r>
    </w:p>
    <w:p>
      <w:pPr>
        <w:pStyle w:val="ListParagraph"/>
      </w:pPr>
      <w:r>
        <w:t>Policy on Safety of Patients, Families, Staff and Visitors (HCO/FMS/POL/03) — this policy</w:t>
      </w:r>
    </w:p>
    <w:p>
      <w:pPr>
        <w:pStyle w:val="ListParagraph"/>
      </w:pPr>
      <w:r>
        <w:t>Required Records — FMS.3 (see FMS.3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FMS.3.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Facility Manager, and immediately if an incident, audit or drill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ea.nic.in/wp-content/uploads/notification/2023/06/pdf_100_183_English.pdf" TargetMode="External"/><Relationship Id="rId10" Type="http://schemas.openxmlformats.org/officeDocument/2006/relationships/hyperlink" Target="https://clip.cpcb.gov.in/index.php/rule/the-hazard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