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Written guidance governs disciplinary and grievance handling mechanisms.</w:t>
      </w:r>
    </w:p>
    <w:p>
      <w:r>
        <w:t>HRM.1 Record 07 — Grievance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The unique case number assigned on the day the grievance was received.</w:t>
      </w:r>
    </w:p>
    <w:p>
      <w:pPr>
        <w:pStyle w:val="ListParagraph"/>
      </w:pPr>
      <w:r>
        <w:t>Date Received: The date the grievance was logged.</w:t>
      </w:r>
    </w:p>
    <w:p>
      <w:pPr>
        <w:pStyle w:val="ListParagraph"/>
      </w:pPr>
      <w:r>
        <w:t>Nature of Grievance: A brief, factual statement of what was raised.</w:t>
      </w:r>
    </w:p>
    <w:p>
      <w:pPr>
        <w:pStyle w:val="ListParagraph"/>
      </w:pPr>
      <w:r>
        <w:t>Action Taken: The investigation or resolution steps actually taken.</w:t>
      </w:r>
    </w:p>
    <w:p>
      <w:pPr>
        <w:pStyle w:val="ListParagraph"/>
      </w:pPr>
      <w:r>
        <w:t>Closure Date: The date the case was closed, after any appeal window.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staff grievance from the day it is received to the day it is closed — one row per case, each with its own case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the same day any staff member raises a grievance. The worked example shows a roster dispute logged 12-Feb-2026 and closed 20-Feb-2026.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grievance mechanism that exists only on paper, with no register showing cases actually logged and closed, cannot demonstrate it is used — NABH checks the register because a policy with no cases in it proves nothing by itself.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Date Received</w:t>
            </w:r>
          </w:p>
        </w:tc>
        <w:tc>
          <w:tcPr>
            <w:tcW w:type="dxa" w:w="1728"/>
          </w:tcPr>
          <w:p>
            <w:r>
              <w:t>Nature of Grievance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GRV-2026-004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Dispute over shift roster allocation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Department head and HR reviewed roster policy with both parties; roster corrected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