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HRM.1.i — Disciplinary and grievance handling is carried out as per the documented procedure.</w:t>
      </w:r>
    </w:p>
    <w:p>
      <w:r>
        <w:t>HRM.1 Record 09 — Interim action and retaliation-protection log</w:t>
      </w:r>
    </w:p>
    <w:p/>
    <w:p/>
    <w:p/>
    <w:p>
      <w:r>
        <w:t>How to fill this in — column by column</w:t>
      </w:r>
    </w:p>
    <w:p>
      <w:pPr>
        <w:pStyle w:val="ListParagraph"/>
      </w:pPr>
      <w:r>
        <w:t>Case No.: The case this interim action or retaliation report relates to.</w:t>
      </w:r>
    </w:p>
    <w:p>
      <w:pPr>
        <w:pStyle w:val="ListParagraph"/>
      </w:pPr>
      <w:r>
        <w:t>Interim Action Taken / Decided Against: Reassignment, restricted duties, administrative leave, or a decision that none was needed.</w:t>
      </w:r>
    </w:p>
    <w:p>
      <w:pPr>
        <w:pStyle w:val="ListParagraph"/>
      </w:pPr>
      <w:r>
        <w:t>Decided By / Date: The Medical Superintendent's decision and date.</w:t>
      </w:r>
    </w:p>
    <w:p>
      <w:pPr>
        <w:pStyle w:val="ListParagraph"/>
      </w:pPr>
      <w:r>
        <w:t>Reviewed on Timeline Extension (Y/N): Whether interim action was reviewed if the case ran past its original deadline.</w:t>
      </w:r>
    </w:p>
    <w:p>
      <w:pPr>
        <w:pStyle w:val="ListParagraph"/>
      </w:pPr>
      <w:r>
        <w:t>Retaliation Reported (Y/N, Details): Whether the complainant reported retaliation during the case, and what was done.</w:t>
      </w:r>
    </w:p>
    <w:p>
      <w: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p/>
    <w:p>
      <w:r>
        <w:t>Where this requirement comes from (verified, clickable sources)</w:t>
      </w:r>
    </w:p>
    <w:p>
      <w:pPr>
        <w:pStyle w:val="ListParagraph"/>
      </w:pPr>
      <w:r>
        <w:t xml:space="preserve">National Accreditation Board for Hospitals and Healthcare Providers. (2022). Standards for Small Healthcare Organisations (3rd ed.). </w:t>
      </w:r>
      <w:hyperlink r:id="rId9">
        <w:r>
          <w:rPr>
            <w:color w:val="0563C1"/>
            <w:u w:val="single"/>
          </w:rPr>
          <w:t>NABH SHCO Accreditation Programme page</w:t>
        </w:r>
      </w:hyperlink>
      <w:r>
        <w:t>. Human Resource Management chapter, standard HRM.1.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What is this record, in plain terms?</w:t>
            </w:r>
          </w:p>
          <w:p>
            <w:r>
              <w:t>This record tracks the interim-action decision for every serious matter and any report of retaliation against a complainant, separately from the main case outcome.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A real example of when you'd use this</w:t>
            </w:r>
          </w:p>
          <w:p>
            <w:r>
              <w:t>The Medical Superintendent logs the interim-action decision at the point a serious matter is logged. The worked example shows a staff member reassigned pending investigation, with no retaliation reported.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b/>
              </w:rPr>
              <w:t>Why does NABH ask for this?</w:t>
            </w:r>
          </w:p>
          <w:p>
            <w:r>
              <w:t>A serious allegation left unaddressed in the person's normal role while an investigation runs, or a complainant who faces retaliation with nowhere that gets recorded, both defeat the purpose of having a disciplinary procedure at all — this record is the evidence both risks were actively managed.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cantSplit/>
        </w:trPr>
        <w:tc>
          <w:tcPr>
            <w:tcW w:type="dxa" w:w="1728"/>
          </w:tcPr>
          <w:p>
            <w:r>
              <w:t>Case No.</w:t>
            </w:r>
          </w:p>
        </w:tc>
        <w:tc>
          <w:tcPr>
            <w:tcW w:type="dxa" w:w="1728"/>
          </w:tcPr>
          <w:p>
            <w:r>
              <w:t>Interim Action Taken / Decided Against</w:t>
            </w:r>
          </w:p>
        </w:tc>
        <w:tc>
          <w:tcPr>
            <w:tcW w:type="dxa" w:w="1728"/>
          </w:tcPr>
          <w:p>
            <w:r>
              <w:t>Decided By / Date</w:t>
            </w:r>
          </w:p>
        </w:tc>
        <w:tc>
          <w:tcPr>
            <w:tcW w:type="dxa" w:w="1728"/>
          </w:tcPr>
          <w:p>
            <w:r>
              <w:t>Reviewed on Timeline Extension (Y/N)</w:t>
            </w:r>
          </w:p>
        </w:tc>
        <w:tc>
          <w:tcPr>
            <w:tcW w:type="dxa" w:w="1728"/>
          </w:tcPr>
          <w:p>
            <w:r>
              <w:t>Retaliation Reported (Y/N, Details)</w:t>
            </w:r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  <w:tc>
          <w:tcPr>
            <w:tcW w:type="dxa" w:w="1728"/>
            <w:shd w:val="clear" w:color="auto" w:fill="FFF2CC"/>
          </w:tcPr>
          <w:p>
            <w:r/>
          </w:p>
        </w:tc>
      </w:tr>
      <w:tr>
        <w:trPr>
          <w:cantSplit/>
        </w:trPr>
        <w:tc>
          <w:tcPr>
            <w:tcW w:type="dxa" w:w="1728"/>
            <w:shd w:val="clear" w:color="auto" w:fill="FFF2CC"/>
          </w:tcPr>
          <w:p>
            <w:r>
              <w:t>DISC-2026-003</w:t>
            </w:r>
          </w:p>
        </w:tc>
        <w:tc>
          <w:tcPr>
            <w:tcW w:type="dxa" w:w="1728"/>
            <w:shd w:val="clear" w:color="auto" w:fill="FFF2CC"/>
          </w:tcPr>
          <w:p>
            <w:r>
              <w:t>Reassigned to a ward with direct supervision pending investigation</w:t>
            </w:r>
          </w:p>
        </w:tc>
        <w:tc>
          <w:tcPr>
            <w:tcW w:type="dxa" w:w="1728"/>
            <w:shd w:val="clear" w:color="auto" w:fill="FFF2CC"/>
          </w:tcPr>
          <w:p>
            <w:r>
              <w:t>Medical Superintendent, 14-Feb-2026</w:t>
            </w:r>
          </w:p>
        </w:tc>
        <w:tc>
          <w:tcPr>
            <w:tcW w:type="dxa" w:w="1728"/>
            <w:shd w:val="clear" w:color="auto" w:fill="FFF2CC"/>
          </w:tcPr>
          <w:p>
            <w:r>
              <w:t>N/A — case closed within original timeline</w:t>
            </w:r>
          </w:p>
        </w:tc>
        <w:tc>
          <w:tcPr>
            <w:tcW w:type="dxa" w:w="1728"/>
            <w:shd w:val="clear" w:color="auto" w:fill="FFF2CC"/>
          </w:tcPr>
          <w:p>
            <w:r>
              <w:t>N</w:t>
            </w:r>
          </w:p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rPr>
          <w:cantSplit/>
        </w:trPr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nabh.co/programmes/small-healthcare-organisation-shco-accreditation-programm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