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HRM.1.i — Disciplinary and grievance handling is carried out as per the documented procedure.</w:t>
      </w:r>
    </w:p>
    <w:p>
      <w:r>
        <w:t>HRM.1 Record 10 — Investigation timeline-breach escalation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Case No.: The case approaching or past its stated deadline.</w:t>
      </w:r>
    </w:p>
    <w:p>
      <w:pPr>
        <w:pStyle w:val="ListParagraph"/>
      </w:pPr>
      <w:r>
        <w:t>Original Deadline: The timeline stated when the case was opened.</w:t>
      </w:r>
    </w:p>
    <w:p>
      <w:pPr>
        <w:pStyle w:val="ListParagraph"/>
      </w:pPr>
      <w:r>
        <w:t>Escalated To / Date: The Medical Superintendent, and when, before the deadline lapsed.</w:t>
      </w:r>
    </w:p>
    <w:p>
      <w:pPr>
        <w:pStyle w:val="ListParagraph"/>
      </w:pPr>
      <w:r>
        <w:t>Decision: Documented extension with a new deadline, or immediate conclusion on available evidence.</w:t>
      </w:r>
    </w:p>
    <w:p>
      <w:pPr>
        <w:pStyle w:val="ListParagraph"/>
      </w:pPr>
      <w:r>
        <w:t>New Deadline (If Extended): The revised deadline, if one was granted.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case that was escalated for breaching its stated investigation timeline, and whether it received a documented extension or was concluded immediately.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escalates this before a deadline lapses. The worked example shows a grievance case granted a short documented extension due to witness unavailability.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stated investigation timeline that is allowed to silently slip, with no one above the investigator ever told, is the same as having no timeline at all — this record is what makes the deadline actually enforceable.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Case No.</w:t>
            </w:r>
          </w:p>
        </w:tc>
        <w:tc>
          <w:tcPr>
            <w:tcW w:type="dxa" w:w="1728"/>
          </w:tcPr>
          <w:p>
            <w:r>
              <w:t>Original Deadline</w:t>
            </w:r>
          </w:p>
        </w:tc>
        <w:tc>
          <w:tcPr>
            <w:tcW w:type="dxa" w:w="1728"/>
          </w:tcPr>
          <w:p>
            <w:r>
              <w:t>Escalated To / Date</w:t>
            </w:r>
          </w:p>
        </w:tc>
        <w:tc>
          <w:tcPr>
            <w:tcW w:type="dxa" w:w="1728"/>
          </w:tcPr>
          <w:p>
            <w:r>
              <w:t>Decision</w:t>
            </w:r>
          </w:p>
        </w:tc>
        <w:tc>
          <w:tcPr>
            <w:tcW w:type="dxa" w:w="1728"/>
          </w:tcPr>
          <w:p>
            <w:r>
              <w:t>New Deadline (If Extended)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GRV-2026-011</w:t>
            </w:r>
          </w:p>
        </w:tc>
        <w:tc>
          <w:tcPr>
            <w:tcW w:type="dxa" w:w="1728"/>
            <w:shd w:val="clear" w:color="auto" w:fill="FFF2CC"/>
          </w:tcPr>
          <w:p>
            <w:r>
              <w:t>14 days (by 20-Apr-2026)</w:t>
            </w:r>
          </w:p>
        </w:tc>
        <w:tc>
          <w:tcPr>
            <w:tcW w:type="dxa" w:w="1728"/>
            <w:shd w:val="clear" w:color="auto" w:fill="FFF2CC"/>
          </w:tcPr>
          <w:p>
            <w:r>
              <w:t>Medical Superintendent, 18-Apr-2026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Extension approved — key witness on leave</w:t>
            </w:r>
          </w:p>
        </w:tc>
        <w:tc>
          <w:tcPr>
            <w:tcW w:type="dxa" w:w="1728"/>
            <w:shd w:val="clear" w:color="auto" w:fill="FFF2CC"/>
          </w:tcPr>
          <w:p>
            <w:r>
              <w:t>27-Apr-2026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