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HRM.4.a — Performance appraisal is carried out for all staff categories as per the defined system.</w:t>
      </w:r>
    </w:p>
    <w:p>
      <w:r>
        <w:t>HRM.4 Record 04 — Performance improvement plan (PIP) log</w:t>
      </w:r>
    </w:p>
    <w:p/>
    <w:p/>
    <w:p/>
    <w:p>
      <w:r>
        <w:t>How to fill this in — column by column</w:t>
      </w:r>
    </w:p>
    <w:p>
      <w:pPr>
        <w:pStyle w:val="ListParagraph"/>
      </w:pPr>
      <w:r>
        <w:t>Employee / Role: The staff member on a performance improvement plan.</w:t>
      </w:r>
    </w:p>
    <w:p>
      <w:pPr>
        <w:pStyle w:val="ListParagraph"/>
      </w:pPr>
      <w:r>
        <w:t>Appraisal Date / Gaps Identified: When the appraisal found unsatisfactory performance, and the specific gaps.</w:t>
      </w:r>
    </w:p>
    <w:p>
      <w:pPr>
        <w:pStyle w:val="ListParagraph"/>
      </w:pPr>
      <w:r>
        <w:t>Support / Training Provided: What was offered to help close the gaps.</w:t>
      </w:r>
    </w:p>
    <w:p>
      <w:pPr>
        <w:pStyle w:val="ListParagraph"/>
      </w:pPr>
      <w:r>
        <w:t>Follow-Up Review Date: The defined date by which improvement is checked.</w:t>
      </w:r>
    </w:p>
    <w:p>
      <w:pPr>
        <w:pStyle w:val="ListParagraph"/>
      </w:pPr>
      <w:r>
        <w:t>Employee Signed (Y/N): Whether the employee signed the plan, or a refusal was logged and escalated.</w:t>
      </w:r>
    </w:p>
    <w:p>
      <w:pPr>
        <w:pStyle w:val="ListParagraph"/>
      </w:pPr>
      <w:r>
        <w:t>Follow-Up Outcome: Improved / Partially improved / Not improved, and any further action.</w:t>
      </w:r>
    </w:p>
    <w:p>
      <w: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p/>
    <w:p>
      <w:r>
        <w:t>Where this requirement comes from (verified, clickable sources)</w:t>
      </w:r>
    </w:p>
    <w:p>
      <w:pPr>
        <w:pStyle w:val="ListParagraph"/>
      </w:pPr>
      <w:r>
        <w:t xml:space="preserve">National Accreditation Board for Hospitals and Healthcare Providers. (2022). Standards for Small Healthcare Organisations (3rd ed.). </w:t>
      </w:r>
      <w:hyperlink r:id="rId9">
        <w:r>
          <w:rPr>
            <w:color w:val="0563C1"/>
            <w:u w:val="single"/>
          </w:rPr>
          <w:t>NABH SHCO Accreditation Programme page</w:t>
        </w:r>
      </w:hyperlink>
      <w:r>
        <w:t>. Human Resource Management chapter, standard HRM.4.</w:t>
      </w:r>
    </w:p>
    <w:tbl>
      <w:tblPr>
        <w:tblStyle w:val="TableGrid"/>
        <w:tblW w:type="auto" w:w="0"/>
        <w:tblLook w:firstColumn="1" w:firstRow="1" w:lastColumn="0" w:lastRow="0" w:noHBand="0" w:noVBand="1" w:val="04A0"/>
      </w:tblPr>
      <w:tblGrid>
        <w:gridCol w:w="8640"/>
      </w:tblGrid>
      <w:tr>
        <w:tc>
          <w:tcPr>
            <w:tcW w:type="dxa" w:w="8640"/>
          </w:tcPr>
          <w:p>
            <w:r>
              <w:rPr>
                <w:b/>
              </w:rPr>
              <w:t>What is this record, in plain terms?</w:t>
            </w:r>
          </w:p>
          <w:p>
            <w:r>
              <w:t>This record tracks every performance improvement plan from the appraisal that triggered it through to the follow-up review outcome, proving an unsatisfactory appraisal always led to a documented next step.</w:t>
            </w:r>
          </w:p>
        </w:tc>
      </w:tr>
    </w:tbl>
    <w:p/>
    <w:tbl>
      <w:tblPr>
        <w:tblStyle w:val="TableGrid"/>
        <w:tblW w:type="auto" w:w="0"/>
        <w:tblLook w:firstColumn="1" w:firstRow="1" w:lastColumn="0" w:lastRow="0" w:noHBand="0" w:noVBand="1" w:val="04A0"/>
      </w:tblPr>
      <w:tblGrid>
        <w:gridCol w:w="8640"/>
      </w:tblGrid>
      <w:tr>
        <w:tc>
          <w:tcPr>
            <w:tcW w:type="dxa" w:w="8640"/>
          </w:tcPr>
          <w:p>
            <w:r>
              <w:rPr>
                <w:b/>
              </w:rPr>
              <w:t>A real example of when you'd use this</w:t>
            </w:r>
          </w:p>
          <w:p>
            <w:r>
              <w:t>The department head opens this the same day an appraisal finds unsatisfactory performance. The worked example shows a billing assistant's coding errors addressed through coaching, with improvement confirmed at the two-month follow-up.</w:t>
            </w:r>
          </w:p>
        </w:tc>
      </w:tr>
    </w:tbl>
    <w:p/>
    <w:tbl>
      <w:tblPr>
        <w:tblStyle w:val="TableGrid"/>
        <w:tblW w:type="auto" w:w="0"/>
        <w:tblLook w:firstColumn="1" w:firstRow="1" w:lastColumn="0" w:lastRow="0" w:noHBand="0" w:noVBand="1" w:val="04A0"/>
      </w:tblPr>
      <w:tblGrid>
        <w:gridCol w:w="8640"/>
      </w:tblGrid>
      <w:tr>
        <w:tc>
          <w:tcPr>
            <w:tcW w:type="dxa" w:w="8640"/>
          </w:tcPr>
          <w:p>
            <w:r>
              <w:rPr>
                <w:b/>
              </w:rPr>
              <w:t>Why does NABH ask for this?</w:t>
            </w:r>
          </w:p>
          <w:p>
            <w:r>
              <w:t>An appraisal system that records unsatisfactory performance and does nothing further with it gives staff no real chance to improve and leaves the organisation with nothing on file if the same performance gap recurs — this record is what proves a low score actually goes somewhere.</w:t>
            </w:r>
          </w:p>
        </w:tc>
      </w:tr>
    </w:tbl>
    <w:p/>
    <w:tbl>
      <w:tblPr>
        <w:tblStyle w:val="TableGrid"/>
        <w:tblW w:type="auto" w:w="0"/>
        <w:tblLook w:firstColumn="1" w:firstRow="1" w:lastColumn="0" w:lastRow="0" w:noHBand="0" w:noVBand="1" w:val="04A0"/>
      </w:tblPr>
      <w:tblGrid>
        <w:gridCol w:w="1440"/>
        <w:gridCol w:w="1440"/>
        <w:gridCol w:w="1440"/>
        <w:gridCol w:w="1440"/>
        <w:gridCol w:w="1440"/>
        <w:gridCol w:w="1440"/>
      </w:tblGrid>
      <w:tr>
        <w:trPr>
          <w:cantSplit/>
        </w:trPr>
        <w:tc>
          <w:tcPr>
            <w:tcW w:type="dxa" w:w="1440"/>
          </w:tcPr>
          <w:p>
            <w:r>
              <w:t>Employee / Role</w:t>
            </w:r>
          </w:p>
        </w:tc>
        <w:tc>
          <w:tcPr>
            <w:tcW w:type="dxa" w:w="1440"/>
          </w:tcPr>
          <w:p>
            <w:r>
              <w:t>Appraisal Date / Gaps Identified</w:t>
            </w:r>
          </w:p>
        </w:tc>
        <w:tc>
          <w:tcPr>
            <w:tcW w:type="dxa" w:w="1440"/>
          </w:tcPr>
          <w:p>
            <w:r>
              <w:t>Support / Training Provided</w:t>
            </w:r>
          </w:p>
        </w:tc>
        <w:tc>
          <w:tcPr>
            <w:tcW w:type="dxa" w:w="1440"/>
          </w:tcPr>
          <w:p>
            <w:r>
              <w:t>Follow-Up Review Date</w:t>
            </w:r>
          </w:p>
        </w:tc>
        <w:tc>
          <w:tcPr>
            <w:tcW w:type="dxa" w:w="1440"/>
          </w:tcPr>
          <w:p>
            <w:r>
              <w:t>Employee Signed (Y/N)</w:t>
            </w:r>
          </w:p>
        </w:tc>
        <w:tc>
          <w:tcPr>
            <w:tcW w:type="dxa" w:w="1440"/>
          </w:tcPr>
          <w:p>
            <w:r>
              <w:t>Follow-Up Outcome</w:t>
            </w:r>
          </w:p>
        </w:tc>
      </w:tr>
      <w:tr>
        <w:trPr>
          <w:cantSplit/>
        </w:trPr>
        <w:tc>
          <w:tcPr>
            <w:tcW w:type="dxa" w:w="1440"/>
            <w:shd w:val="clear" w:color="auto" w:fill="FFF2CC"/>
          </w:tcPr>
          <w:p>
            <w:r/>
          </w:p>
        </w:tc>
        <w:tc>
          <w:tcPr>
            <w:tcW w:type="dxa" w:w="1440"/>
            <w:shd w:val="clear" w:color="auto" w:fill="FFF2CC"/>
          </w:tcPr>
          <w:p>
            <w:r/>
          </w:p>
        </w:tc>
        <w:tc>
          <w:tcPr>
            <w:tcW w:type="dxa" w:w="1440"/>
            <w:shd w:val="clear" w:color="auto" w:fill="FFF2CC"/>
          </w:tcPr>
          <w:p>
            <w:r/>
          </w:p>
        </w:tc>
        <w:tc>
          <w:tcPr>
            <w:tcW w:type="dxa" w:w="1440"/>
            <w:shd w:val="clear" w:color="auto" w:fill="FFF2CC"/>
          </w:tcPr>
          <w:p>
            <w:r/>
          </w:p>
        </w:tc>
        <w:tc>
          <w:tcPr>
            <w:tcW w:type="dxa" w:w="1440"/>
            <w:shd w:val="clear" w:color="auto" w:fill="FFF2CC"/>
          </w:tcPr>
          <w:p>
            <w:r/>
          </w:p>
        </w:tc>
        <w:tc>
          <w:tcPr>
            <w:tcW w:type="dxa" w:w="1440"/>
            <w:shd w:val="clear" w:color="auto" w:fill="FFF2CC"/>
          </w:tcPr>
          <w:p>
            <w:r/>
          </w:p>
        </w:tc>
      </w:tr>
      <w:tr>
        <w:trPr>
          <w:cantSplit/>
        </w:trPr>
        <w:tc>
          <w:tcPr>
            <w:tcW w:type="dxa" w:w="1440"/>
            <w:shd w:val="clear" w:color="auto" w:fill="FFF2CC"/>
          </w:tcPr>
          <w:p>
            <w:r>
              <w:t>Anil Verma, Billing Assistant</w:t>
            </w:r>
          </w:p>
        </w:tc>
        <w:tc>
          <w:tcPr>
            <w:tcW w:type="dxa" w:w="1440"/>
            <w:shd w:val="clear" w:color="auto" w:fill="FFF2CC"/>
          </w:tcPr>
          <w:p>
            <w:r>
              <w:t>10-Jan-2026 — repeated errors in insurance claim coding</w:t>
            </w:r>
          </w:p>
        </w:tc>
        <w:tc>
          <w:tcPr>
            <w:tcW w:type="dxa" w:w="1440"/>
            <w:shd w:val="clear" w:color="auto" w:fill="FFF2CC"/>
          </w:tcPr>
          <w:p>
            <w:r>
              <w:t>One-to-one coaching with Billing In-Charge, twice weekly for 4 weeks</w:t>
            </w:r>
          </w:p>
        </w:tc>
        <w:tc>
          <w:tcPr>
            <w:tcW w:type="dxa" w:w="1440"/>
            <w:shd w:val="clear" w:color="auto" w:fill="FFF2CC"/>
          </w:tcPr>
          <w:p>
            <w:r>
              <w:t>10-Mar-2026</w:t>
            </w:r>
          </w:p>
        </w:tc>
        <w:tc>
          <w:tcPr>
            <w:tcW w:type="dxa" w:w="1440"/>
            <w:shd w:val="clear" w:color="auto" w:fill="FFF2CC"/>
          </w:tcPr>
          <w:p>
            <w:r>
              <w:t>Y</w:t>
            </w:r>
          </w:p>
        </w:tc>
        <w:tc>
          <w:tcPr>
            <w:tcW w:type="dxa" w:w="1440"/>
            <w:shd w:val="clear" w:color="auto" w:fill="FFF2CC"/>
          </w:tcPr>
          <w:p>
            <w:r>
              <w:t>Improved — error rate within acceptable range at follow-up</w:t>
            </w:r>
          </w:p>
        </w:tc>
      </w:tr>
      <w:tr>
        <w:trPr>
          <w:cantSplit/>
        </w:trPr>
        <w:tc>
          <w:tcPr>
            <w:tcW w:type="dxa" w:w="1440"/>
          </w:tcPr>
          <w:p/>
        </w:tc>
        <w:tc>
          <w:tcPr>
            <w:tcW w:type="dxa" w:w="1440"/>
          </w:tcPr>
          <w:p/>
        </w:tc>
        <w:tc>
          <w:tcPr>
            <w:tcW w:type="dxa" w:w="1440"/>
          </w:tcPr>
          <w:p/>
        </w:tc>
        <w:tc>
          <w:tcPr>
            <w:tcW w:type="dxa" w:w="1440"/>
          </w:tcPr>
          <w:p/>
        </w:tc>
        <w:tc>
          <w:tcPr>
            <w:tcW w:type="dxa" w:w="1440"/>
          </w:tcPr>
          <w:p/>
        </w:tc>
        <w:tc>
          <w:tcPr>
            <w:tcW w:type="dxa" w:w="1440"/>
          </w:tcPr>
          <w:p/>
        </w:tc>
      </w:tr>
      <w:tr>
        <w:trPr>
          <w:cantSplit/>
        </w:trPr>
        <w:tc>
          <w:tcPr>
            <w:tcW w:type="dxa" w:w="1440"/>
          </w:tcPr>
          <w:p/>
        </w:tc>
        <w:tc>
          <w:tcPr>
            <w:tcW w:type="dxa" w:w="1440"/>
          </w:tcPr>
          <w:p/>
        </w:tc>
        <w:tc>
          <w:tcPr>
            <w:tcW w:type="dxa" w:w="1440"/>
          </w:tcPr>
          <w:p/>
        </w:tc>
        <w:tc>
          <w:tcPr>
            <w:tcW w:type="dxa" w:w="1440"/>
          </w:tcPr>
          <w:p/>
        </w:tc>
        <w:tc>
          <w:tcPr>
            <w:tcW w:type="dxa" w:w="1440"/>
          </w:tcPr>
          <w:p/>
        </w:tc>
        <w:tc>
          <w:tcPr>
            <w:tcW w:type="dxa" w:w="1440"/>
          </w:tcPr>
          <w:p/>
        </w:tc>
      </w:tr>
      <w:tr>
        <w:trPr>
          <w:cantSplit/>
        </w:trPr>
        <w:tc>
          <w:tcPr>
            <w:tcW w:type="dxa" w:w="1440"/>
          </w:tcPr>
          <w:p/>
        </w:tc>
        <w:tc>
          <w:tcPr>
            <w:tcW w:type="dxa" w:w="1440"/>
          </w:tcPr>
          <w:p/>
        </w:tc>
        <w:tc>
          <w:tcPr>
            <w:tcW w:type="dxa" w:w="1440"/>
          </w:tcPr>
          <w:p/>
        </w:tc>
        <w:tc>
          <w:tcPr>
            <w:tcW w:type="dxa" w:w="1440"/>
          </w:tcPr>
          <w:p/>
        </w:tc>
        <w:tc>
          <w:tcPr>
            <w:tcW w:type="dxa" w:w="1440"/>
          </w:tcPr>
          <w:p/>
        </w:tc>
        <w:tc>
          <w:tcPr>
            <w:tcW w:type="dxa" w:w="1440"/>
          </w:tcPr>
          <w:p/>
        </w:tc>
      </w:tr>
      <w:tr>
        <w:trPr>
          <w:cantSplit/>
        </w:trPr>
        <w:tc>
          <w:tcPr>
            <w:tcW w:type="dxa" w:w="1440"/>
          </w:tcPr>
          <w:p/>
        </w:tc>
        <w:tc>
          <w:tcPr>
            <w:tcW w:type="dxa" w:w="1440"/>
          </w:tcPr>
          <w:p/>
        </w:tc>
        <w:tc>
          <w:tcPr>
            <w:tcW w:type="dxa" w:w="1440"/>
          </w:tcPr>
          <w:p/>
        </w:tc>
        <w:tc>
          <w:tcPr>
            <w:tcW w:type="dxa" w:w="1440"/>
          </w:tcPr>
          <w:p/>
        </w:tc>
        <w:tc>
          <w:tcPr>
            <w:tcW w:type="dxa" w:w="1440"/>
          </w:tcPr>
          <w:p/>
        </w:tc>
        <w:tc>
          <w:tcPr>
            <w:tcW w:type="dxa" w:w="1440"/>
          </w:tcPr>
          <w:p/>
        </w:tc>
      </w:tr>
      <w:tr>
        <w:trPr>
          <w:cantSplit/>
        </w:trPr>
        <w:tc>
          <w:tcPr>
            <w:tcW w:type="dxa" w:w="1440"/>
          </w:tcPr>
          <w:p/>
        </w:tc>
        <w:tc>
          <w:tcPr>
            <w:tcW w:type="dxa" w:w="1440"/>
          </w:tcPr>
          <w:p/>
        </w:tc>
        <w:tc>
          <w:tcPr>
            <w:tcW w:type="dxa" w:w="1440"/>
          </w:tcPr>
          <w:p/>
        </w:tc>
        <w:tc>
          <w:tcPr>
            <w:tcW w:type="dxa" w:w="1440"/>
          </w:tcPr>
          <w:p/>
        </w:tc>
        <w:tc>
          <w:tcPr>
            <w:tcW w:type="dxa" w:w="1440"/>
          </w:tcPr>
          <w:p/>
        </w:tc>
        <w:tc>
          <w:tcPr>
            <w:tcW w:type="dxa" w:w="1440"/>
          </w:tcPr>
          <w:p/>
        </w:tc>
      </w:tr>
      <w:tr>
        <w:trPr>
          <w:cantSplit/>
        </w:trPr>
        <w:tc>
          <w:tcPr>
            <w:tcW w:type="dxa" w:w="1440"/>
          </w:tcPr>
          <w:p/>
        </w:tc>
        <w:tc>
          <w:tcPr>
            <w:tcW w:type="dxa" w:w="1440"/>
          </w:tcPr>
          <w:p/>
        </w:tc>
        <w:tc>
          <w:tcPr>
            <w:tcW w:type="dxa" w:w="1440"/>
          </w:tcPr>
          <w:p/>
        </w:tc>
        <w:tc>
          <w:tcPr>
            <w:tcW w:type="dxa" w:w="1440"/>
          </w:tcPr>
          <w:p/>
        </w:tc>
        <w:tc>
          <w:tcPr>
            <w:tcW w:type="dxa" w:w="1440"/>
          </w:tcPr>
          <w:p/>
        </w:tc>
        <w:tc>
          <w:tcPr>
            <w:tcW w:type="dxa" w:w="1440"/>
          </w:tcPr>
          <w:p/>
        </w:tc>
      </w:tr>
      <w:tr>
        <w:trPr>
          <w:cantSplit/>
        </w:trPr>
        <w:tc>
          <w:tcPr>
            <w:tcW w:type="dxa" w:w="1440"/>
          </w:tcPr>
          <w:p/>
        </w:tc>
        <w:tc>
          <w:tcPr>
            <w:tcW w:type="dxa" w:w="1440"/>
          </w:tcPr>
          <w:p/>
        </w:tc>
        <w:tc>
          <w:tcPr>
            <w:tcW w:type="dxa" w:w="1440"/>
          </w:tcPr>
          <w:p/>
        </w:tc>
        <w:tc>
          <w:tcPr>
            <w:tcW w:type="dxa" w:w="1440"/>
          </w:tcPr>
          <w:p/>
        </w:tc>
        <w:tc>
          <w:tcPr>
            <w:tcW w:type="dxa" w:w="1440"/>
          </w:tcPr>
          <w:p/>
        </w:tc>
        <w:tc>
          <w:tcPr>
            <w:tcW w:type="dxa" w:w="1440"/>
          </w:tcP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nabh.co/programmes/small-healthcare-organisation-shco-accreditation-programm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