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Recruitment</w:t>
      </w:r>
    </w:p>
    <w:p>
      <w:pPr>
        <w:spacing w:after="240"/>
        <w:jc w:val="center"/>
      </w:pPr>
      <w:r>
        <w:rPr>
          <w:i/>
          <w:iCs/>
          <w:sz w:val="20"/>
          <w:szCs w:val="20"/>
        </w:rPr>
        <w:t xml:space="preserve">HCO Full Accreditation, 6th Edition — HRM.2.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defined process for staff recruitment.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HRM.2: The organisation implements a defined process for staff recruitment.</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recruitment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staff recruitment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HRM.2 so that the organisation implements a defined process for staff recruitment.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the process of recruitment.</w:t>
      </w:r>
    </w:p>
    <w:p>
      <w:pPr>
        <w:spacing w:after="80"/>
      </w:pPr>
      <w:r>
        <w:rPr>
          <w:sz w:val="22"/>
          <w:szCs w:val="22"/>
        </w:rPr>
        <w:t xml:space="preserve">2. Do not skip: A pre-employment medical examination is conducted on the staff.</w:t>
      </w:r>
    </w:p>
    <w:p>
      <w:pPr>
        <w:spacing w:after="80"/>
      </w:pPr>
      <w:r>
        <w:rPr>
          <w:sz w:val="22"/>
          <w:szCs w:val="22"/>
        </w:rPr>
        <w:t xml:space="preserve">3. Do not skip: The organisation defines and implements a code of conduct for its staff.</w:t>
      </w:r>
    </w:p>
    <w:p>
      <w:pPr>
        <w:spacing w:after="80"/>
      </w:pPr>
      <w:r>
        <w:rPr>
          <w:sz w:val="22"/>
          <w:szCs w:val="22"/>
        </w:rPr>
        <w:t xml:space="preserve">4. Do not skip: Administrative procedures for human resource management are documented.</w:t>
      </w:r>
    </w:p>
    <w:p>
      <w:pPr>
        <w:spacing w:after="80"/>
      </w:pPr>
      <w:r>
        <w:rPr>
          <w:sz w:val="22"/>
          <w:szCs w:val="22"/>
        </w:rPr>
        <w:t xml:space="preserve">5. Staff who see a HRM.2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the process of recruitment</w:t>
      </w:r>
    </w:p>
    <w:p>
      <w:pPr>
        <w:spacing w:after="140"/>
      </w:pPr>
      <w:r>
        <w:rPr>
          <w:sz w:val="22"/>
          <w:szCs w:val="22"/>
        </w:rPr>
        <w:t xml:space="preserve">Written guidance governs the process of recruitment at «Hospital Name», based on defined criteria for each staff category, ensuring an adequate number and skill mix to provide the organisation's services. The procedure confirms that a candidate has the necessary registration, qualifications, skills and experience before appointment, and follows statutory requirements where they apply.</w:t>
      </w:r>
    </w:p>
    <w:p>
      <w:pPr>
        <w:spacing w:after="140"/>
      </w:pPr>
      <w:r>
        <w:rPr>
          <w:sz w:val="22"/>
          <w:szCs w:val="22"/>
        </w:rPr>
        <w:t xml:space="preserve">The process is documented and carried out transparently; the «HR In-Charge / Personnel Officer» maintains a recruitment register logging vacancy, candidates considered, selection rationale and fill date. This is a CORE, asterisked element.</w:t>
      </w:r>
    </w:p>
    <w:p>
      <w:pPr>
        <w:spacing w:after="140"/>
      </w:pPr>
      <w:r>
        <w:rPr>
          <w:sz w:val="22"/>
          <w:szCs w:val="22"/>
        </w:rPr>
        <w:t xml:space="preserve">Method note (from guidebook interpretation): Recruitment of staff shall be based on defined criteria for each category. The recruitment process ensures an adequate number and skill mix of staff to provide the organisation's services. The procedure shall ensure that the staff has the necessary registration, qualifications, skills and experience to perform its work. Recruitment is undertaken following statutory requirements, where applicable. The process shall be documented and carried out transparently.</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A pre-employment medical examination is conducted on the staff</w:t>
      </w:r>
    </w:p>
    <w:p>
      <w:pPr>
        <w:spacing w:after="140"/>
      </w:pPr>
      <w:r>
        <w:rPr>
          <w:sz w:val="22"/>
          <w:szCs w:val="22"/>
        </w:rPr>
        <w:t xml:space="preserve">A pre-employment medical examination is conducted on staff at «Hospital Name» to confirm fitness to provide safe care. The scope of diagnostic testing is guided by the nature of the role, but any test performed follows the law of the land — for example, pre-employment HIV testing without the candidate's consent is illegal and is not this hospital's practice.</w:t>
      </w:r>
    </w:p>
    <w:p>
      <w:pPr>
        <w:spacing w:after="140"/>
      </w:pPr>
      <w:r>
        <w:rPr>
          <w:sz w:val="22"/>
          <w:szCs w:val="22"/>
        </w:rPr>
        <w:t xml:space="preserve">The «HR In-Charge / Personnel Officer» holds the examination record with the personnel file.</w:t>
      </w:r>
    </w:p>
    <w:p>
      <w:pPr>
        <w:spacing w:after="140"/>
      </w:pPr>
      <w:r>
        <w:rPr>
          <w:sz w:val="22"/>
          <w:szCs w:val="22"/>
        </w:rPr>
        <w:t xml:space="preserve">Method note (from guidebook interpretation): The purpose of this examination is to ensure that the staff is fit to provide safe care to patients. Performance of diagnostic tests could be guided by the nature of the job of the staff in the organisation. However, any such test done shall be in accordance with the law of the land. For example, performing pre-employment HIV testing without consent is illegal.</w:t>
      </w:r>
    </w:p>
    <w:p>
      <w:pPr>
        <w:pStyle w:val="Heading2"/>
        <w:spacing w:after="100" w:before="220"/>
      </w:pPr>
      <w:r>
        <w:t xml:space="preserve">5.3 The organisation defines and implements a code of conduct for its staff</w:t>
      </w:r>
    </w:p>
    <w:p>
      <w:pPr>
        <w:spacing w:after="140"/>
      </w:pPr>
      <w:r>
        <w:rPr>
          <w:sz w:val="22"/>
          <w:szCs w:val="22"/>
        </w:rPr>
        <w:t xml:space="preserve">«Hospital Name» defines and implements a code of conduct for its staff, outlining the do's and don'ts of workplace behaviour, aligned with the organisation's values and ethics framework and including protection of patient confidentiality. Staff sign the code at the time of joining; it may form part of the hospital's service rules.</w:t>
      </w:r>
    </w:p>
    <w:p>
      <w:pPr>
        <w:spacing w:after="140"/>
      </w:pPr>
      <w:r>
        <w:rPr>
          <w:sz w:val="22"/>
          <w:szCs w:val="22"/>
        </w:rPr>
        <w:t xml:space="preserve">This is a CORE element. The «HR In-Charge / Personnel Officer» holds signed acknowledgements with the personnel file.</w:t>
      </w:r>
    </w:p>
    <w:p>
      <w:pPr>
        <w:spacing w:after="140"/>
      </w:pPr>
      <w:r>
        <w:rPr>
          <w:sz w:val="22"/>
          <w:szCs w:val="22"/>
        </w:rPr>
        <w:t xml:space="preserve">Method note (from guidebook interpretation): The code of conducts shall outline the do's and don'ts for staff behaviour at the workplace. It shall be aligned with the organisation's values and ethics framework. Code of conduct shall include protection of patient confidentiality. It is preferable that the staff sign the code of conduct at the time of joining. The code of conduct could be part of service rules of the organisation.</w:t>
      </w:r>
    </w:p>
    <w:p>
      <w:pPr>
        <w:spacing w:after="140"/>
      </w:pPr>
      <w:r>
        <w:rPr>
          <w:sz w:val="22"/>
          <w:szCs w:val="22"/>
        </w:rPr>
        <w:t xml:space="preserve">This is a CORE objective element — non-compliance is not acceptable for accreditation.</w:t>
      </w:r>
    </w:p>
    <w:p>
      <w:pPr>
        <w:pStyle w:val="Heading2"/>
        <w:spacing w:after="100" w:before="220"/>
      </w:pPr>
      <w:r>
        <w:t xml:space="preserve">5.4 Administrative procedures for human resource management are documented</w:t>
      </w:r>
    </w:p>
    <w:p>
      <w:pPr>
        <w:spacing w:after="140"/>
      </w:pPr>
      <w:r>
        <w:rPr>
          <w:sz w:val="22"/>
          <w:szCs w:val="22"/>
        </w:rPr>
        <w:t xml:space="preserve">Administrative procedures for human resource management are documented at «Hospital Name» — at minimum attendance, leave, conduct and replacement. The «HR In-Charge / Personnel Officer» maintains the current procedure set and covers it during induction (HRM.3.h). This is an asterisked element.</w:t>
      </w:r>
    </w:p>
    <w:p>
      <w:pPr>
        <w:spacing w:after="140"/>
      </w:pPr>
      <w:r>
        <w:rPr>
          <w:sz w:val="22"/>
          <w:szCs w:val="22"/>
        </w:rPr>
        <w:t xml:space="preserve">Method note (from guidebook interpretation): This shall include administrative procedures like attendance, leave, conduct, replacement, etc.</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HRM.2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Recruitment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HRM.2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HRM.2.</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HRM.2</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process of recruitment.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pre-employment medical examination is conducted on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implements a code of conduct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Administrative procedures for human resource management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HRM.2.a — Written guidance governs the process of recruitment.</w:t>
      </w:r>
    </w:p>
    <w:p>
      <w:pPr>
        <w:pStyle w:val="ListParagraph"/>
        <w:numPr>
          <w:ilvl w:val="0"/>
          <w:numId w:val="1"/>
        </w:numPr>
        <w:spacing w:after="60"/>
      </w:pPr>
      <w:r>
        <w:rPr>
          <w:sz w:val="22"/>
          <w:szCs w:val="22"/>
        </w:rPr>
        <w:t xml:space="preserve">Written recruitment guidance document.</w:t>
      </w:r>
    </w:p>
    <w:p>
      <w:pPr>
        <w:pStyle w:val="ListParagraph"/>
        <w:numPr>
          <w:ilvl w:val="0"/>
          <w:numId w:val="1"/>
        </w:numPr>
        <w:spacing w:after="60"/>
      </w:pPr>
      <w:r>
        <w:rPr>
          <w:sz w:val="22"/>
          <w:szCs w:val="22"/>
        </w:rPr>
        <w:t xml:space="preserve">Recruitment register — vacancy, candidates, selection rationale, fill date.</w:t>
      </w:r>
    </w:p>
    <w:p>
      <w:pPr>
        <w:pStyle w:val="ListParagraph"/>
        <w:numPr>
          <w:ilvl w:val="0"/>
          <w:numId w:val="1"/>
        </w:numPr>
        <w:spacing w:after="60"/>
      </w:pPr>
      <w:r>
        <w:rPr>
          <w:sz w:val="22"/>
          <w:szCs w:val="22"/>
        </w:rPr>
        <w:t xml:space="preserve">Statutory-requirement compliance record where applicable.</w:t>
      </w:r>
    </w:p>
    <w:p>
      <w:pPr>
        <w:pStyle w:val="Heading2"/>
        <w:spacing w:after="100" w:before="220"/>
      </w:pPr>
      <w:r>
        <w:t xml:space="preserve">HRM.2.b — A pre-employment medical examination is conducted on the staff.</w:t>
      </w:r>
    </w:p>
    <w:p>
      <w:pPr>
        <w:pStyle w:val="ListParagraph"/>
        <w:numPr>
          <w:ilvl w:val="0"/>
          <w:numId w:val="1"/>
        </w:numPr>
        <w:spacing w:after="60"/>
      </w:pPr>
      <w:r>
        <w:rPr>
          <w:sz w:val="22"/>
          <w:szCs w:val="22"/>
        </w:rPr>
        <w:t xml:space="preserve">Pre-employment medical examination record on file.</w:t>
      </w:r>
    </w:p>
    <w:p>
      <w:pPr>
        <w:pStyle w:val="ListParagraph"/>
        <w:numPr>
          <w:ilvl w:val="0"/>
          <w:numId w:val="1"/>
        </w:numPr>
        <w:spacing w:after="60"/>
      </w:pPr>
      <w:r>
        <w:rPr>
          <w:sz w:val="22"/>
          <w:szCs w:val="22"/>
        </w:rPr>
        <w:t xml:space="preserve">Consent record for any testing performed, confirming no non-consensual testing.</w:t>
      </w:r>
    </w:p>
    <w:p>
      <w:pPr>
        <w:pStyle w:val="ListParagraph"/>
        <w:numPr>
          <w:ilvl w:val="0"/>
          <w:numId w:val="1"/>
        </w:numPr>
        <w:spacing w:after="60"/>
      </w:pPr>
      <w:r>
        <w:rPr>
          <w:sz w:val="22"/>
          <w:szCs w:val="22"/>
        </w:rPr>
        <w:t xml:space="preserve">Fitness-to-work determination record.</w:t>
      </w:r>
    </w:p>
    <w:p>
      <w:pPr>
        <w:pStyle w:val="Heading2"/>
        <w:spacing w:after="100" w:before="220"/>
      </w:pPr>
      <w:r>
        <w:t xml:space="preserve">HRM.2.c — The organisation defines and implements a code of conduct for its staff.</w:t>
      </w:r>
    </w:p>
    <w:p>
      <w:pPr>
        <w:pStyle w:val="ListParagraph"/>
        <w:numPr>
          <w:ilvl w:val="0"/>
          <w:numId w:val="1"/>
        </w:numPr>
        <w:spacing w:after="60"/>
      </w:pPr>
      <w:r>
        <w:rPr>
          <w:sz w:val="22"/>
          <w:szCs w:val="22"/>
        </w:rPr>
        <w:t xml:space="preserve">Written code of conduct document.</w:t>
      </w:r>
    </w:p>
    <w:p>
      <w:pPr>
        <w:pStyle w:val="ListParagraph"/>
        <w:numPr>
          <w:ilvl w:val="0"/>
          <w:numId w:val="1"/>
        </w:numPr>
        <w:spacing w:after="60"/>
      </w:pPr>
      <w:r>
        <w:rPr>
          <w:sz w:val="22"/>
          <w:szCs w:val="22"/>
        </w:rPr>
        <w:t xml:space="preserve">Signed staff acknowledgement at joining.</w:t>
      </w:r>
    </w:p>
    <w:p>
      <w:pPr>
        <w:pStyle w:val="ListParagraph"/>
        <w:numPr>
          <w:ilvl w:val="0"/>
          <w:numId w:val="1"/>
        </w:numPr>
        <w:spacing w:after="60"/>
      </w:pPr>
      <w:r>
        <w:rPr>
          <w:sz w:val="22"/>
          <w:szCs w:val="22"/>
        </w:rPr>
        <w:t xml:space="preserve">Confidentiality-protection clause record within the code.</w:t>
      </w:r>
    </w:p>
    <w:p>
      <w:pPr>
        <w:pStyle w:val="Heading2"/>
        <w:spacing w:after="100" w:before="220"/>
      </w:pPr>
      <w:r>
        <w:t xml:space="preserve">HRM.2.d — Administrative procedures for human resource management are documented.</w:t>
      </w:r>
    </w:p>
    <w:p>
      <w:pPr>
        <w:pStyle w:val="ListParagraph"/>
        <w:numPr>
          <w:ilvl w:val="0"/>
          <w:numId w:val="1"/>
        </w:numPr>
        <w:spacing w:after="60"/>
      </w:pPr>
      <w:r>
        <w:rPr>
          <w:sz w:val="22"/>
          <w:szCs w:val="22"/>
        </w:rPr>
        <w:t xml:space="preserve">Documented administrative procedures — attendance, leave, conduct, replacement.</w:t>
      </w:r>
    </w:p>
    <w:p>
      <w:pPr>
        <w:pStyle w:val="ListParagraph"/>
        <w:numPr>
          <w:ilvl w:val="0"/>
          <w:numId w:val="1"/>
        </w:numPr>
        <w:spacing w:after="60"/>
      </w:pPr>
      <w:r>
        <w:rPr>
          <w:sz w:val="22"/>
          <w:szCs w:val="22"/>
        </w:rPr>
        <w:t xml:space="preserve">Current-version record held by HR.</w:t>
      </w:r>
    </w:p>
    <w:p>
      <w:pPr>
        <w:pStyle w:val="ListParagraph"/>
        <w:numPr>
          <w:ilvl w:val="0"/>
          <w:numId w:val="1"/>
        </w:numPr>
        <w:spacing w:after="60"/>
      </w:pPr>
      <w:r>
        <w:rPr>
          <w:sz w:val="22"/>
          <w:szCs w:val="22"/>
        </w:rPr>
        <w:t xml:space="preserve">Cross-reference to induction training covering these procedures (HRM.3.h).</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«HCO/HRM/POL/02»  |  Controlled document  |  Staff Recruitment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2026-08-21T14:58:23.033Z</dcterms:created>
  <dcterms:modified xsi:type="dcterms:W3CDTF">2026-08-21T14:58:23.035Z</dcterms:modified>
</cp:coreProperties>
</file>

<file path=docProps/custom.xml><?xml version="1.0" encoding="utf-8"?>
<Properties xmlns="http://schemas.openxmlformats.org/officeDocument/2006/custom-properties" xmlns:vt="http://schemas.openxmlformats.org/officeDocument/2006/docPropsVTypes"/>
</file>