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Hospital Formulary</w:t>
      </w:r>
    </w:p>
    <w:p>
      <w:pPr>
        <w:spacing w:after="240"/>
        <w:jc w:val="center"/>
      </w:pPr>
      <w:r>
        <w:rPr>
          <w:i/>
          <w:iCs/>
          <w:sz w:val="20"/>
          <w:szCs w:val="20"/>
        </w:rPr>
        <w:t xml:space="preserve">HCO Full Accreditation, 6th Edition — MOM.2.</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«HCO/MOM/POL/02»</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«Drug and Therapeutics Committee Chair»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The organisation develops, updates and implements a hospital formulary.</w:t>
      </w:r>
    </w:p>
    <w:p>
      <w:pPr>
        <w:pStyle w:val="Heading1"/>
        <w:spacing w:after="120" w:before="280"/>
      </w:pPr>
      <w:r>
        <w:t xml:space="preserve">1. Purpose</w:t>
      </w:r>
    </w:p>
    <w:p>
      <w:pPr>
        <w:spacing w:after="140"/>
      </w:pPr>
      <w:r>
        <w:rPr>
          <w:sz w:val="22"/>
          <w:szCs w:val="22"/>
        </w:rPr>
        <w:t xml:space="preserve">This policy says how «Hospital Name» meets NABH Hospitals 6th Edition standard MOM.2: The organisation develops, updates and implements a hospital formulary.</w:t>
      </w:r>
    </w:p>
    <w:p>
      <w:pPr>
        <w:spacing w:after="140"/>
      </w:pPr>
      <w:r>
        <w:rPr>
          <w:sz w:val="22"/>
          <w:szCs w:val="22"/>
        </w:rPr>
        <w:t xml:space="preserve">This policy covers all 6 requirements under this standard, listed in detail below.</w:t>
      </w:r>
    </w:p>
    <w:p>
      <w:pPr>
        <w:spacing w:after="140"/>
      </w:pPr>
      <w:r>
        <w:rPr>
          <w:sz w:val="22"/>
          <w:szCs w:val="22"/>
        </w:rPr>
        <w:t xml:space="preserve">Chapter intent (official Standards PDF): The organisation has a safe and organised medication management process. Availability, safe storage, prescription, dispensing and administration of medications are governed by written guidance. A medication safety officer is designated. The hospital formulary is developed, implemented and updated. Pharmacy has oversight of medications stocked out of the pharmacy. Reconciliation occurs at transition points. Patients are monitored after administration. Near misses, medication errors and adverse drug reactions are reported and analysed. Medications also include blood, implants and devices. Medical supplies and consumables are available for use.</w:t>
      </w:r>
    </w:p>
    <w:p>
      <w:pPr>
        <w:spacing w:after="140"/>
      </w:pPr>
      <w:r>
        <w:rPr>
          <w:sz w:val="22"/>
          <w:szCs w:val="22"/>
        </w:rPr>
        <w:t xml:space="preserve">This policy covers hospital formulary specifically. Related duties — like patient assessment, clinical care, patient rights, infection control, or staffing — are covered in the hospital's other policies, not repeated here. Other MOM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prescribe, dispense, administer, store, monitor or oversee medications (or, for MOM.10–11, implants / medical devices / medical supplies) at «Hospital Name», including the «Drug and Therapeutics Committee Chair», pharmacy, nursing, treating doctors and the Quality Coordinator.</w:t>
      </w:r>
    </w:p>
    <w:p>
      <w:pPr>
        <w:spacing w:after="140"/>
      </w:pPr>
      <w:r>
        <w:rPr>
          <w:sz w:val="22"/>
          <w:szCs w:val="22"/>
        </w:rPr>
        <w:t xml:space="preserve">This policy covers all 6 requirements under this standard, listed in detail below.</w:t>
      </w:r>
    </w:p>
    <w:p>
      <w:pPr>
        <w:spacing w:after="140"/>
      </w:pPr>
      <w:r>
        <w:rPr>
          <w:sz w:val="22"/>
          <w:szCs w:val="22"/>
        </w:rPr>
        <w:t xml:space="preserve">This policy covers hospital formulary specifically. Related duties — like patient assessment, clinical care, patient rights, infection control, or staffing — are covered in the hospital's other policies, not repeated here. Spell out abbreviations on first use in training materials. OE counts/levels/asterisks stay with the official portal Standards PDF. Method notes come from the Guidebook Interpretation paragraphs (scanned PDF md5 2c4489ee98de4ae9b49cba168ea9f42a).</w:t>
      </w:r>
    </w:p>
    <w:p>
      <w:pPr>
        <w:pStyle w:val="Heading1"/>
        <w:spacing w:after="120" w:before="280"/>
      </w:pPr>
      <w:r>
        <w:t xml:space="preserve">3. Policy standards</w:t>
      </w:r>
    </w:p>
    <w:p>
      <w:pPr>
        <w:spacing w:after="140"/>
      </w:pPr>
      <w:r>
        <w:rPr>
          <w:sz w:val="22"/>
          <w:szCs w:val="22"/>
        </w:rPr>
        <w:t xml:space="preserve">«Hospital Name» implements MOM.2 so that the organisation develops, updates and implements a hospital formulary.</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A list of medications appropriate for the patients and as per the scope of the organisation's clinical...</w:t>
      </w:r>
    </w:p>
    <w:p>
      <w:pPr>
        <w:spacing w:after="80"/>
      </w:pPr>
      <w:r>
        <w:rPr>
          <w:sz w:val="22"/>
          <w:szCs w:val="22"/>
        </w:rPr>
        <w:t xml:space="preserve">2. Do not skip: The list is reviewed and updated collaboratively by the multi-disciplinary committee at least annually.</w:t>
      </w:r>
    </w:p>
    <w:p>
      <w:pPr>
        <w:spacing w:after="80"/>
      </w:pPr>
      <w:r>
        <w:rPr>
          <w:sz w:val="22"/>
          <w:szCs w:val="22"/>
        </w:rPr>
        <w:t xml:space="preserve">3. Do not skip: The current formulary is available for clinicians to refer to.</w:t>
      </w:r>
    </w:p>
    <w:p>
      <w:pPr>
        <w:spacing w:after="80"/>
      </w:pPr>
      <w:r>
        <w:rPr>
          <w:sz w:val="22"/>
          <w:szCs w:val="22"/>
        </w:rPr>
        <w:t xml:space="preserve">4. Do not skip: The clinicians adhere to the current formulary.</w:t>
      </w:r>
    </w:p>
    <w:p>
      <w:pPr>
        <w:spacing w:after="80"/>
      </w:pPr>
      <w:r>
        <w:rPr>
          <w:sz w:val="22"/>
          <w:szCs w:val="22"/>
        </w:rPr>
        <w:t xml:space="preserve">5. Do not skip: The organisation adheres to the procedure for the acquisition of formulary medications.</w:t>
      </w:r>
    </w:p>
    <w:p>
      <w:pPr>
        <w:spacing w:after="80"/>
      </w:pPr>
      <w:r>
        <w:rPr>
          <w:sz w:val="22"/>
          <w:szCs w:val="22"/>
        </w:rPr>
        <w:t xml:space="preserve">6. Do not skip: The organisation adheres to the procedure to obtain medications not listed in the formulary.</w:t>
      </w:r>
    </w:p>
    <w:p>
      <w:pPr>
        <w:spacing w:after="80"/>
      </w:pPr>
      <w:r>
        <w:rPr>
          <w:sz w:val="22"/>
          <w:szCs w:val="22"/>
        </w:rPr>
        <w:t xml:space="preserve">7. Staff who see a MOM.2 rule broken report it the same shift to the «department in-charge» or the «Medication Safety Officer».</w:t>
      </w:r>
    </w:p>
    <w:p>
      <w:pPr>
        <w:pStyle w:val="Heading1"/>
        <w:spacing w:after="120" w:before="280"/>
      </w:pPr>
      <w:r>
        <w:t xml:space="preserve">5. What we do</w:t>
      </w:r>
    </w:p>
    <w:p>
      <w:pPr>
        <w:pStyle w:val="Heading2"/>
        <w:spacing w:after="100" w:before="220"/>
      </w:pPr>
      <w:r>
        <w:t xml:space="preserve">5.1 A list of medications appropriate for the patients and as per the scope...</w:t>
      </w:r>
    </w:p>
    <w:p>
      <w:pPr>
        <w:spacing w:after="140"/>
      </w:pPr>
      <w:r>
        <w:rPr>
          <w:sz w:val="22"/>
          <w:szCs w:val="22"/>
        </w:rPr>
        <w:t xml:space="preserve">The «Drug and Therapeutics Committee» develops the hospital formulary: the list of medications appropriate for the patients «Hospital Name» actually treats, matched to the defined clinical scope (AAC.1). The list is built collaboratively — pharmacy proposes; clinicians from the services that use the drugs agree; nursing flags administration constraints.</w:t>
      </w:r>
    </w:p>
    <w:p>
      <w:pPr>
        <w:spacing w:after="140"/>
      </w:pPr>
      <w:r>
        <w:rPr>
          <w:sz w:val="22"/>
          <w:szCs w:val="22"/>
        </w:rPr>
        <w:t xml:space="preserve">The formulary records generic name, strength(s), dosage form, and whether the item is high-risk. It is not a wholesale catalogue. Items outside scope (for example a chemotherapy agent when the hospital has no oncology service) are not listed as routine stock. The «Medical Superintendent» approves the first issue of the list.</w:t>
      </w:r>
    </w:p>
    <w:p>
      <w:pPr>
        <w:spacing w:after="140"/>
      </w:pPr>
      <w:r>
        <w:rPr>
          <w:sz w:val="22"/>
          <w:szCs w:val="22"/>
        </w:rPr>
        <w:t xml:space="preserve">Method note (from guidebook interpretation): The multidisciplinary committee shall prepare the organisation's formulary. The formulary shall include medications necessary to meet the organisation’s mission, patient needs and scope of services. The formulary could be prepared keeping in view the “National List of Essential Medicines” and “WHO Model List of Essential Medicines”. It could also take into consideration the harm potential of the medication, interactions with other medications and likelihood of patient safety incidents. The organisation could look at the possibility of having system-wise/speciality wise formulary. At a minimum, the formulary shall include the name of the molecule, formulation and strength(s). The organisation shall endeavour to limit the number of drug concentrations of a particular drug in the formulary. Implants and devices are included in drugs and shall be included in the formulary.</w:t>
      </w:r>
    </w:p>
    <w:p>
      <w:pPr>
        <w:spacing w:after="140"/>
      </w:pPr>
      <w:r>
        <w:rPr>
          <w:sz w:val="22"/>
          <w:szCs w:val="22"/>
        </w:rPr>
        <w:t xml:space="preserve">This is a CORE objective element — non-compliance is not acceptable for accreditation.</w:t>
      </w:r>
    </w:p>
    <w:p>
      <w:pPr>
        <w:pStyle w:val="Heading2"/>
        <w:spacing w:after="100" w:before="220"/>
      </w:pPr>
      <w:r>
        <w:t xml:space="preserve">5.2 The list is reviewed and updated collaboratively by the...</w:t>
      </w:r>
    </w:p>
    <w:p>
      <w:pPr>
        <w:spacing w:after="140"/>
      </w:pPr>
      <w:r>
        <w:rPr>
          <w:sz w:val="22"/>
          <w:szCs w:val="22"/>
        </w:rPr>
        <w:t xml:space="preserve">The «Drug and Therapeutics Committee» reviews the formulary at least «annually» and whenever a service is added or withdrawn. Additions, deletions and restrictions are minuted with a clinical reason.</w:t>
      </w:r>
    </w:p>
    <w:p>
      <w:pPr>
        <w:spacing w:after="140"/>
      </w:pPr>
      <w:r>
        <w:rPr>
          <w:sz w:val="22"/>
          <w:szCs w:val="22"/>
        </w:rPr>
        <w:t xml:space="preserve">Between annual reviews, urgent additions (a new essential item, a shortage substitution) go through the same committee or a documented emergency sub-process and are ratified at the next meeting. The «Pharmacy In-Charge» dates the current list on the cover.</w:t>
      </w:r>
    </w:p>
    <w:p>
      <w:pPr>
        <w:spacing w:after="140"/>
      </w:pPr>
      <w:r>
        <w:rPr>
          <w:sz w:val="22"/>
          <w:szCs w:val="22"/>
        </w:rPr>
        <w:t xml:space="preserve">Method note (from guidebook interpretation): The committee may review and update all medications or only certain medication categories. The review may be done speciality wise. Non-formulary drugs, which were procured in the previous year regularly, may be included in the revised list. Aspects of patient safety, including adverse drug reactions, changing disease pattern, changing resistance pattern, and cost, could be taken into consideration during the review.</w:t>
      </w:r>
    </w:p>
    <w:p>
      <w:pPr>
        <w:pStyle w:val="Heading2"/>
        <w:spacing w:after="100" w:before="220"/>
      </w:pPr>
      <w:r>
        <w:t xml:space="preserve">5.3 The current formulary is available for clinicians to refer to</w:t>
      </w:r>
    </w:p>
    <w:p>
      <w:pPr>
        <w:spacing w:after="140"/>
      </w:pPr>
      <w:r>
        <w:rPr>
          <w:sz w:val="22"/>
          <w:szCs w:val="22"/>
        </w:rPr>
        <w:t xml:space="preserve">The current formulary is available where clinicians prescribe: «OPD consulting rooms, wards, ICU, emergency, OT and the hospital information system / intranet». An outdated printed copy is removed when a new version is issued.</w:t>
      </w:r>
    </w:p>
    <w:p>
      <w:pPr>
        <w:spacing w:after="140"/>
      </w:pPr>
      <w:r>
        <w:rPr>
          <w:sz w:val="22"/>
          <w:szCs w:val="22"/>
        </w:rPr>
        <w:t xml:space="preserve">Pharmacy keeps the master. The «Quality Coordinator» checks availability of the current version at a sample of prescribing locations «quarterly».</w:t>
      </w:r>
    </w:p>
    <w:p>
      <w:pPr>
        <w:spacing w:after="140"/>
      </w:pPr>
      <w:r>
        <w:rPr>
          <w:sz w:val="22"/>
          <w:szCs w:val="22"/>
        </w:rPr>
        <w:t xml:space="preserve">Method note (from guidebook interpretation): The current formulary shall be made available to all treating doctors of the organisation. The organisation needs to ensure that clinicians have access to the current version of the formulary. The formulary could be made available in either physical or electronic form.</w:t>
      </w:r>
    </w:p>
    <w:p>
      <w:pPr>
        <w:pStyle w:val="Heading2"/>
        <w:spacing w:after="100" w:before="220"/>
      </w:pPr>
      <w:r>
        <w:t xml:space="preserve">5.4 The clinicians adhere to the current formulary</w:t>
      </w:r>
    </w:p>
    <w:p>
      <w:pPr>
        <w:spacing w:after="140"/>
      </w:pPr>
      <w:r>
        <w:rPr>
          <w:sz w:val="22"/>
          <w:szCs w:val="22"/>
        </w:rPr>
        <w:t xml:space="preserve">Clinicians prescribe from the current formulary. A non-formulary item is obtained only through the MOM.2.f procedure, not by informal purchase.</w:t>
      </w:r>
    </w:p>
    <w:p>
      <w:pPr>
        <w:spacing w:after="140"/>
      </w:pPr>
      <w:r>
        <w:rPr>
          <w:sz w:val="22"/>
          <w:szCs w:val="22"/>
        </w:rPr>
        <w:t xml:space="preserve">Pharmacy flags non-formulary prescribing to the «Medication Safety Officer». Repeated non-adherence by a department is tabled at the «Drug and Therapeutics Committee». This Achievement element is evidenced by prescription-versus-formulary audit, not by a poster.</w:t>
      </w:r>
    </w:p>
    <w:p>
      <w:pPr>
        <w:spacing w:after="140"/>
      </w:pPr>
      <w:r>
        <w:rPr>
          <w:sz w:val="22"/>
          <w:szCs w:val="22"/>
        </w:rPr>
        <w:t xml:space="preserve">Method note (from guidebook interpretation): The organisation shall ensure that prescriptions are as per the formulary. It shall monitor the frequency of prescriptions being rejected/local purchase done because it contained non-formulary drugs. = Commitment = Achievement Excellence.</w:t>
      </w:r>
    </w:p>
    <w:p>
      <w:pPr>
        <w:pStyle w:val="Heading2"/>
        <w:spacing w:after="100" w:before="220"/>
      </w:pPr>
      <w:r>
        <w:t xml:space="preserve">5.5 The organisation adheres to the procedure for the acquisition of...</w:t>
      </w:r>
    </w:p>
    <w:p>
      <w:pPr>
        <w:spacing w:after="140"/>
      </w:pPr>
      <w:r>
        <w:rPr>
          <w:sz w:val="22"/>
          <w:szCs w:val="22"/>
        </w:rPr>
        <w:t xml:space="preserve">Formulary medications are acquired through the organisation's written procurement procedure: approved supplier, quality checks on receipt, batch and expiry recorded, and storage handed to pharmacy.</w:t>
      </w:r>
    </w:p>
    <w:p>
      <w:pPr>
        <w:spacing w:after="140"/>
      </w:pPr>
      <w:r>
        <w:rPr>
          <w:sz w:val="22"/>
          <w:szCs w:val="22"/>
        </w:rPr>
        <w:t xml:space="preserve">The «Pharmacy In-Charge» does not accept a delivery that fails identity, integrity or cold-chain checks. Purchase of a formulary item off-procedure (cash from a nearby shop without record) is not acquisition under this policy except as documented in the stock-out procedure (MOM.1.d) and then entered the next working day.</w:t>
      </w:r>
    </w:p>
    <w:p>
      <w:pPr>
        <w:spacing w:after="140"/>
      </w:pPr>
      <w:r>
        <w:rPr>
          <w:sz w:val="22"/>
          <w:szCs w:val="22"/>
        </w:rPr>
        <w:t xml:space="preserve">Method note (from guidebook interpretation): The procedure shall address the issues of vendor selection, vendor evaluation, reorder levels, indenting process, generation of the purchase order, and receipt of goods. The procedure also addresses managing stock-outs due to various reasons.</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5.6 The organisation adheres to the procedure to obtain medications not...</w:t>
      </w:r>
    </w:p>
    <w:p>
      <w:pPr>
        <w:spacing w:after="140"/>
      </w:pPr>
      <w:r>
        <w:rPr>
          <w:sz w:val="22"/>
          <w:szCs w:val="22"/>
        </w:rPr>
        <w:t xml:space="preserve">A medication not on the formulary is obtained only through a written non-formulary request: clinical justification, approval by «the treating consultant and the Pharmacy In-Charge or DTC chair», and a record of source, batch and indication.</w:t>
      </w:r>
    </w:p>
    <w:p>
      <w:pPr>
        <w:spacing w:after="140"/>
      </w:pPr>
      <w:r>
        <w:rPr>
          <w:sz w:val="22"/>
          <w:szCs w:val="22"/>
        </w:rPr>
        <w:t xml:space="preserve">The request does not by itself add the item to the formulary. If the item will be needed routinely, the «Drug and Therapeutics Committee» considers a formulary amendment. Emergency life-saving non-formulary use is documented retrospectively the same shift.</w:t>
      </w:r>
    </w:p>
    <w:p>
      <w:pPr>
        <w:spacing w:after="140"/>
      </w:pPr>
      <w:r>
        <w:rPr>
          <w:sz w:val="22"/>
          <w:szCs w:val="22"/>
        </w:rPr>
        <w:t xml:space="preserve">Method note (from guidebook interpretation): Local purchase/hotline, which takes care of the immediate requirement are examples of the procedure to obtain medications not listed in the formulary. Whenever there is the local purchase of a medication thats not listed in the formulary, the organisation shall have a process of evaluation, authorisation and ratification and decision-making on its subsequent inclusion in the formulary if necessary. Standard Medications are stored appropriately and are available where MOM.3. - required.</w:t>
      </w:r>
    </w:p>
    <w:p>
      <w:pPr>
        <w:spacing w:after="140"/>
      </w:pPr>
      <w:r>
        <w:rPr>
          <w:sz w:val="22"/>
          <w:szCs w:val="22"/>
        </w:rPr>
        <w:t xml:space="preserve">This objective element is asterisked in the official Standards PDF — documentation of the process is required.</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MOM.2 is resourced and followed.</w:t>
      </w:r>
    </w:p>
    <w:p>
      <w:pPr>
        <w:pStyle w:val="ListParagraph"/>
        <w:numPr>
          <w:ilvl w:val="0"/>
          <w:numId w:val="1"/>
        </w:numPr>
        <w:spacing w:after="60"/>
      </w:pPr>
      <w:r>
        <w:rPr>
          <w:sz w:val="22"/>
          <w:szCs w:val="22"/>
        </w:rPr>
        <w:t xml:space="preserve">Designates the Medication Safety Officer (chapter intent) where that role is required for this standard.</w:t>
      </w:r>
    </w:p>
    <w:p>
      <w:pPr>
        <w:spacing w:after="20" w:before="100"/>
      </w:pPr>
      <w:r>
        <w:rPr>
          <w:b/>
          <w:bCs/>
          <w:sz w:val="22"/>
          <w:szCs w:val="22"/>
        </w:rPr>
        <w:t xml:space="preserve">Drug and Therapeutics Committee Chair</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Medication Safety Officer</w:t>
      </w:r>
    </w:p>
    <w:p>
      <w:pPr>
        <w:pStyle w:val="ListParagraph"/>
        <w:numPr>
          <w:ilvl w:val="0"/>
          <w:numId w:val="1"/>
        </w:numPr>
        <w:spacing w:after="60"/>
      </w:pPr>
      <w:r>
        <w:rPr>
          <w:sz w:val="22"/>
          <w:szCs w:val="22"/>
        </w:rPr>
        <w:t xml:space="preserve">Coordinates medication-safety processes that cut across MOM standards; brings incidents and audits to the Drug and Therapeutics Committee.</w:t>
      </w:r>
    </w:p>
    <w:p>
      <w:pPr>
        <w:spacing w:after="20" w:before="100"/>
      </w:pPr>
      <w:r>
        <w:rPr>
          <w:b/>
          <w:bCs/>
          <w:sz w:val="22"/>
          <w:szCs w:val="22"/>
        </w:rPr>
        <w:t xml:space="preserve">Pharmacy / nursing / treating doctors (as applicable)</w:t>
      </w:r>
    </w:p>
    <w:p>
      <w:pPr>
        <w:pStyle w:val="ListParagraph"/>
        <w:numPr>
          <w:ilvl w:val="0"/>
          <w:numId w:val="1"/>
        </w:numPr>
        <w:spacing w:after="60"/>
      </w:pPr>
      <w:r>
        <w:rPr>
          <w:sz w:val="22"/>
          <w:szCs w:val="22"/>
        </w:rPr>
        <w:t xml:space="preserve">Deliver the process as written; escalate stop-work triggers without delay.</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adverse event or recall.</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Hospital Formulary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Management of Medication, standard MOM.2. Official portal PDF (OE text, counts, levels, asterisks).</w:t>
      </w:r>
    </w:p>
    <w:p>
      <w:pPr>
        <w:pStyle w:val="ListParagraph"/>
        <w:numPr>
          <w:ilvl w:val="0"/>
          <w:numId w:val="1"/>
        </w:numPr>
        <w:spacing w:after="60"/>
      </w:pPr>
      <w:r>
        <w:rPr>
          <w:sz w:val="22"/>
          <w:szCs w:val="22"/>
        </w:rPr>
        <w:t xml:space="preserve">NABH Guidebook to Accreditation Standards for Hospitals, 6th Edition — MOM.2 interpretations (source PDF md5 2c4489ee98de4ae9b49cba168ea9f42a; OCR policies/source/hco6_mom_guidebook_ocr.txt).</w:t>
      </w:r>
    </w:p>
    <w:p>
      <w:pPr>
        <w:pStyle w:val="ListParagraph"/>
        <w:numPr>
          <w:ilvl w:val="0"/>
          <w:numId w:val="1"/>
        </w:numPr>
        <w:spacing w:after="60"/>
      </w:pPr>
      <w:r>
        <w:rPr>
          <w:sz w:val="22"/>
          <w:szCs w:val="22"/>
        </w:rPr>
        <w:t xml:space="preserve">Internal documents of «Hospital Name»: Medication Management Manual, formulary, high-risk and emergency-medication lists, registers and incident forms named for MOM.2.</w:t>
      </w:r>
    </w:p>
    <w:p>
      <w:pPr>
        <w:pStyle w:val="Heading1"/>
        <w:spacing w:after="120" w:before="280"/>
      </w:pPr>
      <w:r>
        <w:t xml:space="preserve">10. Distribution</w:t>
      </w:r>
    </w:p>
    <w:p>
      <w:pPr>
        <w:spacing w:after="140"/>
      </w:pPr>
      <w:r>
        <w:rPr>
          <w:sz w:val="22"/>
          <w:szCs w:val="22"/>
        </w:rPr>
        <w:t xml:space="preserve">Medical Superintendent; Drug and Therapeutics Committee Chair; Medication Safety Officer; Pharmacy In-Charge; Nursing Superintendent; Quality Coordinator; department clinical staff covered by MOM.2</w:t>
      </w:r>
    </w:p>
    <w:p>
      <w:pPr>
        <w:pStyle w:val="Heading1"/>
        <w:spacing w:after="120" w:before="280"/>
      </w:pPr>
      <w:r>
        <w:t xml:space="preserve">11. Abbreviations</w:t>
      </w:r>
    </w:p>
    <w:p>
      <w:pPr>
        <w:spacing w:after="140"/>
      </w:pPr>
      <w:r>
        <w:rPr>
          <w:sz w:val="22"/>
          <w:szCs w:val="22"/>
        </w:rPr>
        <w:t xml:space="preserve">ADR — adverse drug reaction
CAPA — Corrective and Preventive Action
CORE — Core objective element (NABH)
DTC — Drug and Therapeutics Committee (or the organisation's equivalent multi-disciplinary pharmacy committee)
FEFO — first expiry, first out
HCO — Hospital (Full Accreditation programme under NABH Hospitals 6th Edition)
LASA — look-alike, sound-alike
MOM — Management of Medication (NABH Hospitals chapter)
MSO — Medication Safety Officer
NABH — National Accreditation Board for Hospitals and Healthcare Providers
OE — Objective Element</w:t>
      </w:r>
    </w:p>
    <w:p>
      <w:pPr>
        <w:pStyle w:val="Heading1"/>
        <w:spacing w:after="120" w:before="280"/>
      </w:pPr>
      <w:r>
        <w:t xml:space="preserve">12. Traceability to NABH HCO Full Accreditation 6th Edition MOM.2</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MOM.2.a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A list of medications appropriate for the patients and as per the scope of the organisation's clinical services is developed collaboratively by the multi-disciplinary committee.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Drug and Therapeutics Committee Chair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MOM.2.b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list is reviewed and updated collaboratively by the multi-disciplinary committee at least annually.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Drug and Therapeutics Committee Chair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MOM.2.c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current formulary is available for clinicians to refer to.</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Drug and Therapeutics Committee Chair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MOM.2.d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clinicians adhere to the current formulary.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Drug and Therapeutics Committee Chair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MOM.2.e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adheres to the procedure for the acquisition of formulary medications.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Drug and Therapeutics Committee Chair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MOM.2.f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adheres to the procedure to obtain medications not listed in the formulary.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Drug and Therapeutics Committee Chair</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MOM.2.a — A list of medications appropriate for the patients and as per the scope of the organisation's clinical services is developed collaboratively by the multi-disciplinary committee.</w:t>
      </w:r>
    </w:p>
    <w:p>
      <w:pPr>
        <w:pStyle w:val="ListParagraph"/>
        <w:numPr>
          <w:ilvl w:val="0"/>
          <w:numId w:val="1"/>
        </w:numPr>
        <w:spacing w:after="60"/>
      </w:pPr>
      <w:r>
        <w:rPr>
          <w:sz w:val="22"/>
          <w:szCs w:val="22"/>
        </w:rPr>
        <w:t xml:space="preserve">Formulary list built collaboratively by pharmacy, clinicians and nursing, matched to the defined clinical scope (AAC.1).</w:t>
      </w:r>
    </w:p>
    <w:p>
      <w:pPr>
        <w:pStyle w:val="ListParagraph"/>
        <w:numPr>
          <w:ilvl w:val="0"/>
          <w:numId w:val="1"/>
        </w:numPr>
        <w:spacing w:after="60"/>
      </w:pPr>
      <w:r>
        <w:rPr>
          <w:sz w:val="22"/>
          <w:szCs w:val="22"/>
        </w:rPr>
        <w:t xml:space="preserve">Formulary entries recording generic name, strength, dosage form and high-risk flag.</w:t>
      </w:r>
    </w:p>
    <w:p>
      <w:pPr>
        <w:pStyle w:val="ListParagraph"/>
        <w:numPr>
          <w:ilvl w:val="0"/>
          <w:numId w:val="1"/>
        </w:numPr>
        <w:spacing w:after="60"/>
      </w:pPr>
      <w:r>
        <w:rPr>
          <w:sz w:val="22"/>
          <w:szCs w:val="22"/>
        </w:rPr>
        <w:t xml:space="preserve">Medical Superintendent's approval record for the first issue.</w:t>
      </w:r>
    </w:p>
    <w:p>
      <w:pPr>
        <w:pStyle w:val="Heading2"/>
        <w:spacing w:after="100" w:before="220"/>
      </w:pPr>
      <w:r>
        <w:t xml:space="preserve">MOM.2.b — The list is reviewed and updated collaboratively by the multi-disciplinary committee at least annually.</w:t>
      </w:r>
    </w:p>
    <w:p>
      <w:pPr>
        <w:pStyle w:val="ListParagraph"/>
        <w:numPr>
          <w:ilvl w:val="0"/>
          <w:numId w:val="1"/>
        </w:numPr>
        <w:spacing w:after="60"/>
      </w:pPr>
      <w:r>
        <w:rPr>
          <w:sz w:val="22"/>
          <w:szCs w:val="22"/>
        </w:rPr>
        <w:t xml:space="preserve">Annual formulary review record with additions, deletions and restrictions minuted with clinical reason.</w:t>
      </w:r>
    </w:p>
    <w:p>
      <w:pPr>
        <w:pStyle w:val="ListParagraph"/>
        <w:numPr>
          <w:ilvl w:val="0"/>
          <w:numId w:val="1"/>
        </w:numPr>
        <w:spacing w:after="60"/>
      </w:pPr>
      <w:r>
        <w:rPr>
          <w:sz w:val="22"/>
          <w:szCs w:val="22"/>
        </w:rPr>
        <w:t xml:space="preserve">Urgent-addition or shortage-substitution record ratified at the next meeting.</w:t>
      </w:r>
    </w:p>
    <w:p>
      <w:pPr>
        <w:pStyle w:val="ListParagraph"/>
        <w:numPr>
          <w:ilvl w:val="0"/>
          <w:numId w:val="1"/>
        </w:numPr>
        <w:spacing w:after="60"/>
      </w:pPr>
      <w:r>
        <w:rPr>
          <w:sz w:val="22"/>
          <w:szCs w:val="22"/>
        </w:rPr>
        <w:t xml:space="preserve">Dated current-formulary cover record.</w:t>
      </w:r>
    </w:p>
    <w:p>
      <w:pPr>
        <w:pStyle w:val="Heading2"/>
        <w:spacing w:after="100" w:before="220"/>
      </w:pPr>
      <w:r>
        <w:t xml:space="preserve">MOM.2.c — The current formulary is available for clinicians to refer to.</w:t>
      </w:r>
    </w:p>
    <w:p>
      <w:pPr>
        <w:pStyle w:val="ListParagraph"/>
        <w:numPr>
          <w:ilvl w:val="0"/>
          <w:numId w:val="1"/>
        </w:numPr>
        <w:spacing w:after="60"/>
      </w:pPr>
      <w:r>
        <w:rPr>
          <w:sz w:val="22"/>
          <w:szCs w:val="22"/>
        </w:rPr>
        <w:t xml:space="preserve">Formulary availability record at prescribing locations — OPD, wards, ICU, emergency, OT, HIS/intranet.</w:t>
      </w:r>
    </w:p>
    <w:p>
      <w:pPr>
        <w:pStyle w:val="ListParagraph"/>
        <w:numPr>
          <w:ilvl w:val="0"/>
          <w:numId w:val="1"/>
        </w:numPr>
        <w:spacing w:after="60"/>
      </w:pPr>
      <w:r>
        <w:rPr>
          <w:sz w:val="22"/>
          <w:szCs w:val="22"/>
        </w:rPr>
        <w:t xml:space="preserve">Outdated-copy removal record when a new version is issued.</w:t>
      </w:r>
    </w:p>
    <w:p>
      <w:pPr>
        <w:pStyle w:val="ListParagraph"/>
        <w:numPr>
          <w:ilvl w:val="0"/>
          <w:numId w:val="1"/>
        </w:numPr>
        <w:spacing w:after="60"/>
      </w:pPr>
      <w:r>
        <w:rPr>
          <w:sz w:val="22"/>
          <w:szCs w:val="22"/>
        </w:rPr>
        <w:t xml:space="preserve">Quarterly availability spot-check record by the Quality Coordinator.</w:t>
      </w:r>
    </w:p>
    <w:p>
      <w:pPr>
        <w:pStyle w:val="Heading2"/>
        <w:spacing w:after="100" w:before="220"/>
      </w:pPr>
      <w:r>
        <w:t xml:space="preserve">MOM.2.d — The clinicians adhere to the current formulary.</w:t>
      </w:r>
    </w:p>
    <w:p>
      <w:pPr>
        <w:pStyle w:val="ListParagraph"/>
        <w:numPr>
          <w:ilvl w:val="0"/>
          <w:numId w:val="1"/>
        </w:numPr>
        <w:spacing w:after="60"/>
      </w:pPr>
      <w:r>
        <w:rPr>
          <w:sz w:val="22"/>
          <w:szCs w:val="22"/>
        </w:rPr>
        <w:t xml:space="preserve">Prescription-versus-formulary audit record.</w:t>
      </w:r>
    </w:p>
    <w:p>
      <w:pPr>
        <w:pStyle w:val="ListParagraph"/>
        <w:numPr>
          <w:ilvl w:val="0"/>
          <w:numId w:val="1"/>
        </w:numPr>
        <w:spacing w:after="60"/>
      </w:pPr>
      <w:r>
        <w:rPr>
          <w:sz w:val="22"/>
          <w:szCs w:val="22"/>
        </w:rPr>
        <w:t xml:space="preserve">Non-formulary-prescribing flag record from pharmacy to the Medication Safety Officer.</w:t>
      </w:r>
    </w:p>
    <w:p>
      <w:pPr>
        <w:pStyle w:val="ListParagraph"/>
        <w:numPr>
          <w:ilvl w:val="0"/>
          <w:numId w:val="1"/>
        </w:numPr>
        <w:spacing w:after="60"/>
      </w:pPr>
      <w:r>
        <w:rPr>
          <w:sz w:val="22"/>
          <w:szCs w:val="22"/>
        </w:rPr>
        <w:t xml:space="preserve">DTC record of any department's repeated non-adherence tabled for review.</w:t>
      </w:r>
    </w:p>
    <w:p>
      <w:pPr>
        <w:pStyle w:val="Heading2"/>
        <w:spacing w:after="100" w:before="220"/>
      </w:pPr>
      <w:r>
        <w:t xml:space="preserve">MOM.2.e — The organisation adheres to the procedure for the acquisition of formulary medications.</w:t>
      </w:r>
    </w:p>
    <w:p>
      <w:pPr>
        <w:pStyle w:val="ListParagraph"/>
        <w:numPr>
          <w:ilvl w:val="0"/>
          <w:numId w:val="1"/>
        </w:numPr>
        <w:spacing w:after="60"/>
      </w:pPr>
      <w:r>
        <w:rPr>
          <w:sz w:val="22"/>
          <w:szCs w:val="22"/>
        </w:rPr>
        <w:t xml:space="preserve">Procurement record showing approved supplier, receipt quality checks, batch and expiry logged.</w:t>
      </w:r>
    </w:p>
    <w:p>
      <w:pPr>
        <w:pStyle w:val="ListParagraph"/>
        <w:numPr>
          <w:ilvl w:val="0"/>
          <w:numId w:val="1"/>
        </w:numPr>
        <w:spacing w:after="60"/>
      </w:pPr>
      <w:r>
        <w:rPr>
          <w:sz w:val="22"/>
          <w:szCs w:val="22"/>
        </w:rPr>
        <w:t xml:space="preserve">Rejected-delivery record for any item failing identity, integrity or cold-chain check.</w:t>
      </w:r>
    </w:p>
    <w:p>
      <w:pPr>
        <w:pStyle w:val="ListParagraph"/>
        <w:numPr>
          <w:ilvl w:val="0"/>
          <w:numId w:val="1"/>
        </w:numPr>
        <w:spacing w:after="60"/>
      </w:pPr>
      <w:r>
        <w:rPr>
          <w:sz w:val="22"/>
          <w:szCs w:val="22"/>
        </w:rPr>
        <w:t xml:space="preserve">Cross-reference to the MOM.1.d stock-out procedure for any off-procedure purchase.</w:t>
      </w:r>
    </w:p>
    <w:p>
      <w:pPr>
        <w:pStyle w:val="Heading2"/>
        <w:spacing w:after="100" w:before="220"/>
      </w:pPr>
      <w:r>
        <w:t xml:space="preserve">MOM.2.f — The organisation adheres to the procedure to obtain medications not listed in the formulary.</w:t>
      </w:r>
    </w:p>
    <w:p>
      <w:pPr>
        <w:pStyle w:val="ListParagraph"/>
        <w:numPr>
          <w:ilvl w:val="0"/>
          <w:numId w:val="1"/>
        </w:numPr>
        <w:spacing w:after="60"/>
      </w:pPr>
      <w:r>
        <w:rPr>
          <w:sz w:val="22"/>
          <w:szCs w:val="22"/>
        </w:rPr>
        <w:t xml:space="preserve">Written non-formulary request record — clinical justification, approval, source, batch and indication.</w:t>
      </w:r>
    </w:p>
    <w:p>
      <w:pPr>
        <w:pStyle w:val="ListParagraph"/>
        <w:numPr>
          <w:ilvl w:val="0"/>
          <w:numId w:val="1"/>
        </w:numPr>
        <w:spacing w:after="60"/>
      </w:pPr>
      <w:r>
        <w:rPr>
          <w:sz w:val="22"/>
          <w:szCs w:val="22"/>
        </w:rPr>
        <w:t xml:space="preserve">Formulary-amendment consideration record where an item is needed routinely.</w:t>
      </w:r>
    </w:p>
    <w:p>
      <w:pPr>
        <w:pStyle w:val="ListParagraph"/>
        <w:numPr>
          <w:ilvl w:val="0"/>
          <w:numId w:val="1"/>
        </w:numPr>
        <w:spacing w:after="60"/>
      </w:pPr>
      <w:r>
        <w:rPr>
          <w:sz w:val="22"/>
          <w:szCs w:val="22"/>
        </w:rPr>
        <w:t xml:space="preserve">Same-shift retrospective documentation record for emergency non-formulary use.</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«HCO/MOM/POL/02»  |  Controlled document  |  Hospital Formulary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2026-08-21T14:58:40.328Z</dcterms:created>
  <dcterms:modified xsi:type="dcterms:W3CDTF">2026-08-21T14:58:40.330Z</dcterms:modified>
</cp:coreProperties>
</file>

<file path=docProps/custom.xml><?xml version="1.0" encoding="utf-8"?>
<Properties xmlns="http://schemas.openxmlformats.org/officeDocument/2006/custom-properties" xmlns:vt="http://schemas.openxmlformats.org/officeDocument/2006/docPropsVTypes"/>
</file>