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Information and Education about Healthcare Needs</w:t>
      </w:r>
    </w:p>
    <w:p>
      <w:pPr>
        <w:spacing w:after="240"/>
        <w:jc w:val="center"/>
      </w:pPr>
      <w:r>
        <w:rPr>
          <w:i/>
          <w:iCs/>
          <w:sz w:val="20"/>
          <w:szCs w:val="20"/>
        </w:rPr>
        <w:t xml:space="preserve">HCO Full Accreditation, 6th Edition — PRE.5.</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«HCO/PRE/POL/05»</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Patient and families have a right to information and education about their healthcare needs.</w:t>
      </w:r>
    </w:p>
    <w:p>
      <w:pPr>
        <w:pStyle w:val="Heading1"/>
        <w:spacing w:after="120" w:before="280"/>
      </w:pPr>
      <w:r>
        <w:t xml:space="preserve">1. Purpose</w:t>
      </w:r>
    </w:p>
    <w:p>
      <w:pPr>
        <w:spacing w:after="140"/>
      </w:pPr>
      <w:r>
        <w:rPr>
          <w:sz w:val="22"/>
          <w:szCs w:val="22"/>
        </w:rPr>
        <w:t xml:space="preserve">This policy says how «Hospital Name» meets NABH Hospitals 6th Edition standard PRE.5: Patient and families have a right to information and education about their healthcare needs.</w:t>
      </w:r>
    </w:p>
    <w:p>
      <w:pPr>
        <w:spacing w:after="140"/>
      </w:pPr>
      <w:r>
        <w:rPr>
          <w:sz w:val="22"/>
          <w:szCs w:val="22"/>
        </w:rPr>
        <w:t xml:space="preserve">This policy covers all 10 requirements under this standard, listed in detail below.</w:t>
      </w:r>
    </w:p>
    <w:p>
      <w:pPr>
        <w:spacing w:after="140"/>
      </w:pPr>
      <w:r>
        <w:rPr>
          <w:sz w:val="22"/>
          <w:szCs w:val="22"/>
        </w:rPr>
        <w:t xml:space="preserve">Chapter intent (official Standards PDF): The organisation defines, protects and promotes the patient and family's rights and responsibilities. The staff is aware of these rights and is trained to protect them. Patients are informed of their rights and educated about their responsibilities at the time of entering the organisation. The expected costs of treatment and care are explained clearly to the patient and / or family. The organisation encourages patient engagement to enhance clinical outcomes, safety and quality. Patients are educated about the mechanisms available for addressing grievances. Informed consent is obtained from the patient or family for specified procedures / care. The key components of information shall include risks, benefits and alternatives. Patients and families have a right to get information and education about their healthcare needs in a language and manner that is understood by them. The organisation has a mechanism to capture the patient experience including patient reported experience measures (PREM). The organisation develops effective patient-centred communication.</w:t>
      </w:r>
    </w:p>
    <w:p>
      <w:pPr>
        <w:spacing w:after="140"/>
      </w:pPr>
      <w:r>
        <w:rPr>
          <w:sz w:val="22"/>
          <w:szCs w:val="22"/>
        </w:rPr>
        <w:t xml:space="preserve">This policy covers information and education about healthcare needs specifically. Related duties — like patient assessment, clinical care, medication management, infection control, or medical records and information management — are covered in the hospital's other policies, not repeated here. Other PRE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register, admit, treat, counsel, bill, take consent from, or communicate with patients and families at «Hospital Name», including the «Nursing Superintendent», treating doctors, nursing, Guest Relations / Patient Rights, Patient Accounts and the Quality Coordinator.</w:t>
      </w:r>
    </w:p>
    <w:p>
      <w:pPr>
        <w:spacing w:after="140"/>
      </w:pPr>
      <w:r>
        <w:rPr>
          <w:sz w:val="22"/>
          <w:szCs w:val="22"/>
        </w:rPr>
        <w:t xml:space="preserve">This policy covers all 10 requirements under this standard, listed in detail below.</w:t>
      </w:r>
    </w:p>
    <w:p>
      <w:pPr>
        <w:spacing w:after="140"/>
      </w:pPr>
      <w:r>
        <w:rPr>
          <w:sz w:val="22"/>
          <w:szCs w:val="22"/>
        </w:rPr>
        <w:t xml:space="preserve">This policy covers information and education about healthcare needs specifically. Related duties — like patient assessment, clinical care, medication management, infection control, or medical records and information management — are covered in the hospital's other policies, not repeated here.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«Hospital Name» implements PRE.5 so that patient and families have a right to information and education about their healthcare needs.</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Patient and / or family are educated in a language and format that they can understand.</w:t>
      </w:r>
    </w:p>
    <w:p>
      <w:pPr>
        <w:spacing w:after="80"/>
      </w:pPr>
      <w:r>
        <w:rPr>
          <w:sz w:val="22"/>
          <w:szCs w:val="22"/>
        </w:rPr>
        <w:t xml:space="preserve">2. Do not skip: Patient and / or family are educated about the safe and effective use of medication and the potential side...</w:t>
      </w:r>
    </w:p>
    <w:p>
      <w:pPr>
        <w:spacing w:after="80"/>
      </w:pPr>
      <w:r>
        <w:rPr>
          <w:sz w:val="22"/>
          <w:szCs w:val="22"/>
        </w:rPr>
        <w:t xml:space="preserve">3. Do not skip: Patient and / or family are educated about food-drug interaction.</w:t>
      </w:r>
    </w:p>
    <w:p>
      <w:pPr>
        <w:spacing w:after="80"/>
      </w:pPr>
      <w:r>
        <w:rPr>
          <w:sz w:val="22"/>
          <w:szCs w:val="22"/>
        </w:rPr>
        <w:t xml:space="preserve">4. Do not skip: Patient and / or family are educated about diet and nutrition.</w:t>
      </w:r>
    </w:p>
    <w:p>
      <w:pPr>
        <w:spacing w:after="80"/>
      </w:pPr>
      <w:r>
        <w:rPr>
          <w:sz w:val="22"/>
          <w:szCs w:val="22"/>
        </w:rPr>
        <w:t xml:space="preserve">5. Do not skip: Patient and / or family are educated about immunisations.</w:t>
      </w:r>
    </w:p>
    <w:p>
      <w:pPr>
        <w:spacing w:after="80"/>
      </w:pPr>
      <w:r>
        <w:rPr>
          <w:sz w:val="22"/>
          <w:szCs w:val="22"/>
        </w:rPr>
        <w:t xml:space="preserve">6. Do not skip: Patient and /or family are educated on various pain management techniques, when appropriate.</w:t>
      </w:r>
    </w:p>
    <w:p>
      <w:pPr>
        <w:spacing w:after="80"/>
      </w:pPr>
      <w:r>
        <w:rPr>
          <w:sz w:val="22"/>
          <w:szCs w:val="22"/>
        </w:rPr>
        <w:t xml:space="preserve">7. Do not skip: Patient and/or family are educated about their specific disease process, complications and prevention...</w:t>
      </w:r>
    </w:p>
    <w:p>
      <w:pPr>
        <w:spacing w:after="80"/>
      </w:pPr>
      <w:r>
        <w:rPr>
          <w:sz w:val="22"/>
          <w:szCs w:val="22"/>
        </w:rPr>
        <w:t xml:space="preserve">8. Do not skip: Patient and/or family are educated about preventing healthcare associated infections.</w:t>
      </w:r>
    </w:p>
    <w:p>
      <w:pPr>
        <w:spacing w:after="80"/>
      </w:pPr>
      <w:r>
        <w:rPr>
          <w:sz w:val="22"/>
          <w:szCs w:val="22"/>
        </w:rPr>
        <w:t xml:space="preserve">9. Do not skip: The patients and/or family members’ special educational needs are identified and addressed.</w:t>
      </w:r>
    </w:p>
    <w:p>
      <w:pPr>
        <w:spacing w:after="80"/>
      </w:pPr>
      <w:r>
        <w:rPr>
          <w:sz w:val="22"/>
          <w:szCs w:val="22"/>
        </w:rPr>
        <w:t xml:space="preserve">10. Do not skip: The organisation has a mechanism to promote patient engagement to enhance clinical outcomes, safety and...</w:t>
      </w:r>
    </w:p>
    <w:p>
      <w:pPr>
        <w:spacing w:after="80"/>
      </w:pPr>
      <w:r>
        <w:rPr>
          <w:sz w:val="22"/>
          <w:szCs w:val="22"/>
        </w:rPr>
        <w:t xml:space="preserve">11. Staff who see a PRE.5 rule broken report it the same shift to the «department in-charge» or the «Quality Coordinator».</w:t>
      </w:r>
    </w:p>
    <w:p>
      <w:pPr>
        <w:pStyle w:val="Heading1"/>
        <w:spacing w:after="120" w:before="280"/>
      </w:pPr>
      <w:r>
        <w:t xml:space="preserve">5. What we do</w:t>
      </w:r>
    </w:p>
    <w:p>
      <w:pPr>
        <w:pStyle w:val="Heading2"/>
        <w:spacing w:after="100" w:before="220"/>
      </w:pPr>
      <w:r>
        <w:t xml:space="preserve">5.1 Patient and / or family are educated in a language and format that they...</w:t>
      </w:r>
    </w:p>
    <w:p>
      <w:pPr>
        <w:spacing w:after="140"/>
      </w:pPr>
      <w:r>
        <w:rPr>
          <w:sz w:val="22"/>
          <w:szCs w:val="22"/>
        </w:rPr>
        <w:t xml:space="preserve">Staff screen (informally) the patient and/or family's understanding and language needs, then educate in that language and format — counselling, printed material, audio-visual aids. Material uses the language identified at PRE.1.a, not only English.</w:t>
      </w:r>
    </w:p>
    <w:p>
      <w:pPr>
        <w:spacing w:after="140"/>
      </w:pPr>
      <w:r>
        <w:rPr>
          <w:sz w:val="22"/>
          <w:szCs w:val="22"/>
        </w:rPr>
        <w:t xml:space="preserve">The «Nursing Superintendent» owns ward and OPD education practice. Education that the patient cannot understand is not education under this CORE element.</w:t>
      </w:r>
    </w:p>
    <w:p>
      <w:pPr>
        <w:spacing w:after="140"/>
      </w:pPr>
      <w:r>
        <w:rPr>
          <w:sz w:val="22"/>
          <w:szCs w:val="22"/>
        </w:rPr>
        <w:t xml:space="preserve">Method note (from guidebook interpretation): During the patient’s treatment, patient and/or family are screened (informally) for their understanding abilities and language requirements. The patients and/or family members are educated through counselling/use of printed material/audio-visual aids etc. Hi C@QRE =!.</w:t>
      </w:r>
    </w:p>
    <w:p>
      <w:pPr>
        <w:spacing w:after="140"/>
      </w:pPr>
      <w:r>
        <w:rPr>
          <w:sz w:val="22"/>
          <w:szCs w:val="22"/>
        </w:rPr>
        <w:t xml:space="preserve">This is a CORE objective element — non-compliance is not acceptable for accreditation.</w:t>
      </w:r>
    </w:p>
    <w:p>
      <w:pPr>
        <w:pStyle w:val="Heading2"/>
        <w:spacing w:after="100" w:before="220"/>
      </w:pPr>
      <w:r>
        <w:t xml:space="preserve">5.2 Patient and / or family are educated about the safe and effective use...</w:t>
      </w:r>
    </w:p>
    <w:p>
      <w:pPr>
        <w:spacing w:after="140"/>
      </w:pPr>
      <w:r>
        <w:rPr>
          <w:sz w:val="22"/>
          <w:szCs w:val="22"/>
        </w:rPr>
        <w:t xml:space="preserve">The organisation keeps a list of medications that need extra education on safe and effective use and potential side effects (for example digoxin, and drugs that must be taken at a specific time). Nursing or pharmacy educates against that list when those drugs are prescribed, and records it.</w:t>
      </w:r>
    </w:p>
    <w:p>
      <w:pPr>
        <w:spacing w:after="140"/>
      </w:pPr>
      <w:r>
        <w:rPr>
          <w:sz w:val="22"/>
          <w:szCs w:val="22"/>
        </w:rPr>
        <w:t xml:space="preserve">This is not a substitute for MOM administration checks. The «Pharmacy In-Charge» keeps the education list current with the formulary.</w:t>
      </w:r>
    </w:p>
    <w:p>
      <w:pPr>
        <w:spacing w:after="140"/>
      </w:pPr>
      <w:r>
        <w:rPr>
          <w:sz w:val="22"/>
          <w:szCs w:val="22"/>
        </w:rPr>
        <w:t xml:space="preserve">Method note (from guidebook interpretation): The organisation shall make a list of such drugs and accordingly educate, for example digoxin. This could also include education regarding the importance of taking a drug at a specific time..</w:t>
      </w:r>
    </w:p>
    <w:p>
      <w:pPr>
        <w:pStyle w:val="Heading2"/>
        <w:spacing w:after="100" w:before="220"/>
      </w:pPr>
      <w:r>
        <w:t xml:space="preserve">5.3 Patient and / or family are educated about food-drug interaction</w:t>
      </w:r>
    </w:p>
    <w:p>
      <w:pPr>
        <w:spacing w:after="140"/>
      </w:pPr>
      <w:r>
        <w:rPr>
          <w:sz w:val="22"/>
          <w:szCs w:val="22"/>
        </w:rPr>
        <w:t xml:space="preserve">A list of food–drug interactions that matter here (for example no alcohol with metronidazole) is used to educate the patient and family about diet during that medication. Dietetics or nursing delivers the message when the listed drug is prescribed.</w:t>
      </w:r>
    </w:p>
    <w:p>
      <w:pPr>
        <w:spacing w:after="140"/>
      </w:pPr>
      <w:r>
        <w:rPr>
          <w:sz w:val="22"/>
          <w:szCs w:val="22"/>
        </w:rPr>
        <w:t xml:space="preserve">The list sits with pharmacy and dietetics. Education is recorded on the medication-counselling / diet note.</w:t>
      </w:r>
    </w:p>
    <w:p>
      <w:pPr>
        <w:spacing w:after="140"/>
      </w:pPr>
      <w:r>
        <w:rPr>
          <w:sz w:val="22"/>
          <w:szCs w:val="22"/>
        </w:rPr>
        <w:t xml:space="preserve">Method note (from guidebook interpretation): The organisation shall make a list of such drugs, and accordingly, patient and family shall be educated about their diet during medication, for example no alcohol when taking metronidazole. Patient and/or family are educated about diet and nutrition.</w:t>
      </w:r>
    </w:p>
    <w:p>
      <w:pPr>
        <w:pStyle w:val="Heading2"/>
        <w:spacing w:after="100" w:before="220"/>
      </w:pPr>
      <w:r>
        <w:t xml:space="preserve">5.4 Patient and / or family are educated about diet and nutrition</w:t>
      </w:r>
    </w:p>
    <w:p>
      <w:pPr>
        <w:spacing w:after="140"/>
      </w:pPr>
      <w:r>
        <w:rPr>
          <w:sz w:val="22"/>
          <w:szCs w:val="22"/>
        </w:rPr>
        <w:t xml:space="preserve">Diet and nutrition education covers the relationship between foods or supplements and the patient's condition, plus general healthy-diet advice. The «Dietetics In-Charge» provides this for in-patients on a therapeutic diet and for out-patients when the treating doctor requests it.</w:t>
      </w:r>
    </w:p>
    <w:p>
      <w:pPr>
        <w:spacing w:after="140"/>
      </w:pPr>
      <w:r>
        <w:rPr>
          <w:sz w:val="22"/>
          <w:szCs w:val="22"/>
        </w:rPr>
        <w:t xml:space="preserve">A generic poster in the dining area is not patient-specific education.</w:t>
      </w:r>
    </w:p>
    <w:p>
      <w:pPr>
        <w:spacing w:after="140"/>
      </w:pPr>
      <w:r>
        <w:rPr>
          <w:sz w:val="22"/>
          <w:szCs w:val="22"/>
        </w:rPr>
        <w:t xml:space="preserve">Method note (from guidebook interpretation): The education could include the relationships between various foods or supplements and specific health conditions. It shall also incorporate general recommendations for following a healthy diet. Patient and/or family are educated about immunisations.</w:t>
      </w:r>
    </w:p>
    <w:p>
      <w:pPr>
        <w:pStyle w:val="Heading2"/>
        <w:spacing w:after="100" w:before="220"/>
      </w:pPr>
      <w:r>
        <w:t xml:space="preserve">5.5 Patient and / or family are educated about immunisations</w:t>
      </w:r>
    </w:p>
    <w:p>
      <w:pPr>
        <w:spacing w:after="140"/>
      </w:pPr>
      <w:r>
        <w:rPr>
          <w:sz w:val="22"/>
          <w:szCs w:val="22"/>
        </w:rPr>
        <w:t xml:space="preserve">Immunisation education for adults covers vaccines relevant to the patient (influenza, pneumococcus, typhoid, hepatitis B, meningococcus, and others the treating doctor names). Paediatric immunisation education follows the universal immunisation programme.</w:t>
      </w:r>
    </w:p>
    <w:p>
      <w:pPr>
        <w:spacing w:after="140"/>
      </w:pPr>
      <w:r>
        <w:rPr>
          <w:sz w:val="22"/>
          <w:szCs w:val="22"/>
        </w:rPr>
        <w:t xml:space="preserve">The «treating doctor or immunisation clinic nurse» records the advice and vaccines due.</w:t>
      </w:r>
    </w:p>
    <w:p>
      <w:pPr>
        <w:spacing w:after="140"/>
      </w:pPr>
      <w:r>
        <w:rPr>
          <w:sz w:val="22"/>
          <w:szCs w:val="22"/>
        </w:rPr>
        <w:t xml:space="preserve">Method note (from guidebook interpretation): In adults, it could be for influenza, Streptococcus pneumonia, typhoid, hepatitis B, Neisseria meningitides, etc. Paediatric immunization shall follow universal immunisation program. HE cone.</w:t>
      </w:r>
    </w:p>
    <w:p>
      <w:pPr>
        <w:pStyle w:val="Heading2"/>
        <w:spacing w:after="100" w:before="220"/>
      </w:pPr>
      <w:r>
        <w:t xml:space="preserve">5.6 Patient and /or family are educated on various pain management...</w:t>
      </w:r>
    </w:p>
    <w:p>
      <w:pPr>
        <w:spacing w:after="140"/>
      </w:pPr>
      <w:r>
        <w:rPr>
          <w:sz w:val="22"/>
          <w:szCs w:val="22"/>
        </w:rPr>
        <w:t xml:space="preserve">Pain-management education is given when the patient is likely to have long-term pain because the underlying condition is not treatable, and it stays within their personal, cultural and religious beliefs. Acute post-operative pain teaching is additional, not a substitute for this element.</w:t>
      </w:r>
    </w:p>
    <w:p>
      <w:pPr>
        <w:spacing w:after="140"/>
      </w:pPr>
      <w:r>
        <w:rPr>
          <w:sz w:val="22"/>
          <w:szCs w:val="22"/>
        </w:rPr>
        <w:t xml:space="preserve">Cross-reference COP pain-management policy. The «Nursing Superintendent» names who delivers long-term pain education.</w:t>
      </w:r>
    </w:p>
    <w:p>
      <w:pPr>
        <w:spacing w:after="140"/>
      </w:pPr>
      <w:r>
        <w:rPr>
          <w:sz w:val="22"/>
          <w:szCs w:val="22"/>
        </w:rPr>
        <w:t xml:space="preserve">Method note (from guidebook interpretation): The education on pain management techniques could be done only for patients who are likely to have long-term pain because of the underlying condition not being treatable. This shall be done within the framework of their personal, cultural and religious beliefs.</w:t>
      </w:r>
    </w:p>
    <w:p>
      <w:pPr>
        <w:pStyle w:val="Heading2"/>
        <w:spacing w:after="100" w:before="220"/>
      </w:pPr>
      <w:r>
        <w:t xml:space="preserve">5.7 Patient and/or family are educated about their specific disease...</w:t>
      </w:r>
    </w:p>
    <w:p>
      <w:pPr>
        <w:spacing w:after="140"/>
      </w:pPr>
      <w:r>
        <w:rPr>
          <w:sz w:val="22"/>
          <w:szCs w:val="22"/>
        </w:rPr>
        <w:t xml:space="preserve">Disease-specific education covers the process, complications and prevention: lifestyle (stress, exercise, smoking and substance cessation), diet and immunisation where appropriate. Booklets, videos or leaflets matching the hospital's common conditions support the counselling.</w:t>
      </w:r>
    </w:p>
    <w:p>
      <w:pPr>
        <w:spacing w:after="140"/>
      </w:pPr>
      <w:r>
        <w:rPr>
          <w:sz w:val="22"/>
          <w:szCs w:val="22"/>
        </w:rPr>
        <w:t xml:space="preserve">The «treating doctor» assigns the education; nursing or a health educator delivers and records it.</w:t>
      </w:r>
    </w:p>
    <w:p>
      <w:pPr>
        <w:spacing w:after="140"/>
      </w:pPr>
      <w:r>
        <w:rPr>
          <w:sz w:val="22"/>
          <w:szCs w:val="22"/>
        </w:rPr>
        <w:t xml:space="preserve">Method note (from guidebook interpretation): The education shall include information on lifestyle modifications (stress management, physical exercise, cessation of smoking and substance abuse), diet changes and immunisations where appropriate. The education could also be done through patient education booklets/videos/leaflets, etc. hh.</w:t>
      </w:r>
    </w:p>
    <w:p>
      <w:pPr>
        <w:pStyle w:val="Heading2"/>
        <w:spacing w:after="100" w:before="220"/>
      </w:pPr>
      <w:r>
        <w:t xml:space="preserve">5.8 Patient and/or family are educated about preventing healthcare...</w:t>
      </w:r>
    </w:p>
    <w:p>
      <w:pPr>
        <w:spacing w:after="140"/>
      </w:pPr>
      <w:r>
        <w:rPr>
          <w:sz w:val="22"/>
          <w:szCs w:val="22"/>
        </w:rPr>
        <w:t xml:space="preserve">Patients and families are educated on preventing healthcare-associated infections — at least hand washing and avoiding overcrowding at the bedside. IPC posters support, they do not replace, person-to-person education at admission.</w:t>
      </w:r>
    </w:p>
    <w:p>
      <w:pPr>
        <w:spacing w:after="140"/>
      </w:pPr>
      <w:r>
        <w:rPr>
          <w:sz w:val="22"/>
          <w:szCs w:val="22"/>
        </w:rPr>
        <w:t xml:space="preserve">Cross-reference the IPC chapter for the hospital's infection-prevention programme. Nursing records HAI-prevention advice on the admission checklist.</w:t>
      </w:r>
    </w:p>
    <w:p>
      <w:pPr>
        <w:spacing w:after="140"/>
      </w:pPr>
      <w:r>
        <w:rPr>
          <w:sz w:val="22"/>
          <w:szCs w:val="22"/>
        </w:rPr>
        <w:t xml:space="preserve">Method note (from guidebook interpretation): For example, hand washing and avoiding overcrowding near the Patient.</w:t>
      </w:r>
    </w:p>
    <w:p>
      <w:pPr>
        <w:pStyle w:val="Heading2"/>
        <w:spacing w:after="100" w:before="220"/>
      </w:pPr>
      <w:r>
        <w:t xml:space="preserve">5.9 The patients and/or family members’ special educational needs are...</w:t>
      </w:r>
    </w:p>
    <w:p>
      <w:pPr>
        <w:spacing w:after="140"/>
      </w:pPr>
      <w:r>
        <w:rPr>
          <w:sz w:val="22"/>
          <w:szCs w:val="22"/>
        </w:rPr>
        <w:t xml:space="preserve">Special educational needs are identified during treatment (for example ADHD, autism support, physical disability, speech-language-communication needs, social and emotional health needs) and addressed with counselling, print or audio-visual aids that fit that need.</w:t>
      </w:r>
    </w:p>
    <w:p>
      <w:pPr>
        <w:spacing w:after="140"/>
      </w:pPr>
      <w:r>
        <w:rPr>
          <w:sz w:val="22"/>
          <w:szCs w:val="22"/>
        </w:rPr>
        <w:t xml:space="preserve">The «treating doctor with nursing» flags the need in the record and names how it was addressed. This Achievement element is evidenced by identified needs that were actually met.</w:t>
      </w:r>
    </w:p>
    <w:p>
      <w:pPr>
        <w:spacing w:after="140"/>
      </w:pPr>
      <w:r>
        <w:rPr>
          <w:sz w:val="22"/>
          <w:szCs w:val="22"/>
        </w:rPr>
        <w:t xml:space="preserve">Method note (from guidebook interpretation): During the patient’s treatment, his/her special educational needs are identified. The patients and/or family members are educated through counselling, use of printed material, audio-visual aids etc. For example Attention deficit hyperactivity disorder (ADHD), needs Autism support, physical disabilities and speech language and communication needs, Social and emotional health needs.</w:t>
      </w:r>
    </w:p>
    <w:p>
      <w:pPr>
        <w:pStyle w:val="Heading2"/>
        <w:spacing w:after="100" w:before="220"/>
      </w:pPr>
      <w:r>
        <w:t xml:space="preserve">5.10 The organisation has a mechanism to promote patient engagement to...</w:t>
      </w:r>
    </w:p>
    <w:p>
      <w:pPr>
        <w:spacing w:after="140"/>
      </w:pPr>
      <w:r>
        <w:rPr>
          <w:sz w:val="22"/>
          <w:szCs w:val="22"/>
        </w:rPr>
        <w:t xml:space="preserve">«Hospital Name» promotes patient engagement: disease-based support groups where the scope allows, involvement in patient safety and quality improvement, encouragement to report safety incidents, near misses and concerns, and — where the «Medical Superintendent» implements it — a patient advisory council and named patient-safety champions.</w:t>
      </w:r>
    </w:p>
    <w:p>
      <w:pPr>
        <w:spacing w:after="140"/>
      </w:pPr>
      <w:r>
        <w:rPr>
          <w:sz w:val="22"/>
          <w:szCs w:val="22"/>
        </w:rPr>
        <w:t xml:space="preserve">The «Quality Coordinator» records engagement activities «quarterly». A suggestion box alone is not Excellence for this element.</w:t>
      </w:r>
    </w:p>
    <w:p>
      <w:pPr>
        <w:spacing w:after="140"/>
      </w:pPr>
      <w:r>
        <w:rPr>
          <w:sz w:val="22"/>
          <w:szCs w:val="22"/>
        </w:rPr>
        <w:t xml:space="preserve">Method note (from guidebook interpretation): Patient care engagement could involve disease-based patient support groups, involvement of patient in patient safety and quality improvement. The organisation shall create an enabling environment for partnership between patient, families, communities and health care providers. Patients shall be encouraged to become actively involved in reporting safety incidents, near misses and safety concerns. Formation of patient advisory council in hospital is recommended as part of patient engagement. The organisation has to recognise that patients are part of social groups, families and communities and that these broader networks can be a positive force for change. The organisation has to designate and support patient safety champions or advocates, where appropriate, to help facilitate patient engagement; For ‘Patient engagement refer glossary.</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PRE.5 is resourced and followed.</w:t>
      </w:r>
    </w:p>
    <w:p>
      <w:pPr>
        <w:pStyle w:val="ListParagraph"/>
        <w:numPr>
          <w:ilvl w:val="0"/>
          <w:numId w:val="1"/>
        </w:numPr>
        <w:spacing w:after="60"/>
      </w:pPr>
      <w:r>
        <w:rPr>
          <w:sz w:val="22"/>
          <w:szCs w:val="22"/>
        </w:rPr>
        <w:t xml:space="preserve">Acts on rights violations, consent failures and communication breaches that reach top leadership.</w:t>
      </w:r>
    </w:p>
    <w:p>
      <w:pPr>
        <w:spacing w:after="20" w:before="100"/>
      </w:pPr>
      <w:r>
        <w:rPr>
          <w:b/>
          <w:bCs/>
          <w:sz w:val="22"/>
          <w:szCs w:val="22"/>
        </w:rPr>
        <w:t xml:space="preserve">Nursing Superintendent</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Guest Relations / Patient Rights Officer</w:t>
      </w:r>
    </w:p>
    <w:p>
      <w:pPr>
        <w:pStyle w:val="ListParagraph"/>
        <w:numPr>
          <w:ilvl w:val="0"/>
          <w:numId w:val="1"/>
        </w:numPr>
        <w:spacing w:after="60"/>
      </w:pPr>
      <w:r>
        <w:rPr>
          <w:sz w:val="22"/>
          <w:szCs w:val="22"/>
        </w:rPr>
        <w:t xml:space="preserve">Supports rights display, counselling, complaint access and family communication as this standard requires.</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rights incident, consent failure or complaint cluster.</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Information and Education about Healthcare Needs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Patient Rights and Education, standard PRE.5.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PRE.5 interpretations (source PDF md5 2c4489ee98de4ae9b49cba168ea9f42a; OCR policies/source/hco6_pre_guidebook_ocr.txt).</w:t>
      </w:r>
    </w:p>
    <w:p>
      <w:pPr>
        <w:pStyle w:val="ListParagraph"/>
        <w:numPr>
          <w:ilvl w:val="0"/>
          <w:numId w:val="1"/>
        </w:numPr>
        <w:spacing w:after="60"/>
      </w:pPr>
      <w:r>
        <w:rPr>
          <w:sz w:val="22"/>
          <w:szCs w:val="22"/>
        </w:rPr>
        <w:t xml:space="preserve">Internal documents of «Hospital Name»: Patient Rights display and pamphlet, informed-consent list and forms, tariff and estimate process, feedback and complaints guidance, and communication models named for PRE.5.</w:t>
      </w:r>
    </w:p>
    <w:p>
      <w:pPr>
        <w:pStyle w:val="Heading1"/>
        <w:spacing w:after="120" w:before="280"/>
      </w:pPr>
      <w:r>
        <w:t xml:space="preserve">10. Distribution</w:t>
      </w:r>
    </w:p>
    <w:p>
      <w:pPr>
        <w:spacing w:after="140"/>
      </w:pPr>
      <w:r>
        <w:rPr>
          <w:sz w:val="22"/>
          <w:szCs w:val="22"/>
        </w:rPr>
        <w:t xml:space="preserve">Medical Superintendent; Nursing Superintendent; Guest Relations / Patient Rights Officer; Patient Accounts In-Charge; Quality Coordinator; department clinical staff covered by PRE.5</w:t>
      </w:r>
    </w:p>
    <w:p>
      <w:pPr>
        <w:pStyle w:val="Heading1"/>
        <w:spacing w:after="120" w:before="280"/>
      </w:pPr>
      <w:r>
        <w:t xml:space="preserve">11. Abbreviations</w:t>
      </w:r>
    </w:p>
    <w:p>
      <w:pPr>
        <w:spacing w:after="140"/>
      </w:pPr>
      <w:r>
        <w:rPr>
          <w:sz w:val="22"/>
          <w:szCs w:val="22"/>
        </w:rPr>
        <w:t xml:space="preserve">CAPA — Corrective and Preventive Action
CORE — Core objective element (NABH)
HCO — Hospital (Full Accreditation programme under NABH Hospitals 6th Edition)
IEC — Information, Education and Communication
IMS — Information Management System (NABH Hospitals chapter)
NABH — National Accreditation Board for Hospitals and Healthcare Providers
NACO — National AIDS Control Organisation
OE — Objective Element
PRE — Patient Rights and Education (NABH Hospitals chapter)
PREM — Patient-Reported Experience Measure
SPIKES — Setting, Perception, Invitation/information, Knowledge, Empathy, Summarize/strategize (breaking-bad-news model named in the Guidebook)</w:t>
      </w:r>
    </w:p>
    <w:p>
      <w:pPr>
        <w:pStyle w:val="Heading1"/>
        <w:spacing w:after="120" w:before="280"/>
      </w:pPr>
      <w:r>
        <w:t xml:space="preserve">12. Traceability to NABH HCO Full Accreditation 6th Edition PRE.5</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PRE.5.a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 or family are educated in a language and format that they can understand.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PRE.5.b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 or family are educated about the safe and effective use of medication and the potential side effects of the medication, when appropriate.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PRE.5.c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 or family are educated about food-drug interaction.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PRE.5.d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 or family are educated about diet and nutrition.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PRE.5.e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 or family are educated about immunisations.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PRE.5.f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/or family are educated on various pain management techniques, when appropriate.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PRE.5.g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and/or family are educated about their specific disease process, complications and prevention strategies.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PRE.5.h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and/or family are educated about preventing healthcare associated infections.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PRE.5.i</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patients and/or family members’ special educational needs are identified and addressed.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PRE.5.j</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 mechanism to promote patient engagement to enhance clinical outcomes, safety and quality.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5.10</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PRE.5.a — Patient and / or family are educated in a language and format that they can understand.</w:t>
      </w:r>
    </w:p>
    <w:p>
      <w:pPr>
        <w:pStyle w:val="ListParagraph"/>
        <w:numPr>
          <w:ilvl w:val="0"/>
          <w:numId w:val="1"/>
        </w:numPr>
        <w:spacing w:after="60"/>
      </w:pPr>
      <w:r>
        <w:rPr>
          <w:sz w:val="22"/>
          <w:szCs w:val="22"/>
        </w:rPr>
        <w:t xml:space="preserve">Language and format screening record for patient or family understanding.</w:t>
      </w:r>
    </w:p>
    <w:p>
      <w:pPr>
        <w:pStyle w:val="ListParagraph"/>
        <w:numPr>
          <w:ilvl w:val="0"/>
          <w:numId w:val="1"/>
        </w:numPr>
        <w:spacing w:after="60"/>
      </w:pPr>
      <w:r>
        <w:rPr>
          <w:sz w:val="22"/>
          <w:szCs w:val="22"/>
        </w:rPr>
        <w:t xml:space="preserve">Education material in the identified language — counselling, print, audio-visual.</w:t>
      </w:r>
    </w:p>
    <w:p>
      <w:pPr>
        <w:pStyle w:val="ListParagraph"/>
        <w:numPr>
          <w:ilvl w:val="0"/>
          <w:numId w:val="1"/>
        </w:numPr>
        <w:spacing w:after="60"/>
      </w:pPr>
      <w:r>
        <w:rPr>
          <w:sz w:val="22"/>
          <w:szCs w:val="22"/>
        </w:rPr>
        <w:t xml:space="preserve">Confirmation education was delivered in a format the patient could understand.</w:t>
      </w:r>
    </w:p>
    <w:p>
      <w:pPr>
        <w:pStyle w:val="Heading2"/>
        <w:spacing w:after="100" w:before="220"/>
      </w:pPr>
      <w:r>
        <w:t xml:space="preserve">PRE.5.b — Patient and / or family are educated about the safe and effective use of medication and the potential side effects of the medication, when appropriate.</w:t>
      </w:r>
    </w:p>
    <w:p>
      <w:pPr>
        <w:pStyle w:val="ListParagraph"/>
        <w:numPr>
          <w:ilvl w:val="0"/>
          <w:numId w:val="1"/>
        </w:numPr>
        <w:spacing w:after="60"/>
      </w:pPr>
      <w:r>
        <w:rPr>
          <w:sz w:val="22"/>
          <w:szCs w:val="22"/>
        </w:rPr>
        <w:t xml:space="preserve">Current medication-education list — drugs needing extra safety or side-effect counselling.</w:t>
      </w:r>
    </w:p>
    <w:p>
      <w:pPr>
        <w:pStyle w:val="ListParagraph"/>
        <w:numPr>
          <w:ilvl w:val="0"/>
          <w:numId w:val="1"/>
        </w:numPr>
        <w:spacing w:after="60"/>
      </w:pPr>
      <w:r>
        <w:rPr>
          <w:sz w:val="22"/>
          <w:szCs w:val="22"/>
        </w:rPr>
        <w:t xml:space="preserve">Nursing or pharmacy education record against that list.</w:t>
      </w:r>
    </w:p>
    <w:p>
      <w:pPr>
        <w:pStyle w:val="ListParagraph"/>
        <w:numPr>
          <w:ilvl w:val="0"/>
          <w:numId w:val="1"/>
        </w:numPr>
        <w:spacing w:after="60"/>
      </w:pPr>
      <w:r>
        <w:rPr>
          <w:sz w:val="22"/>
          <w:szCs w:val="22"/>
        </w:rPr>
        <w:t xml:space="preserve">Confirmation this is separate from the MOM administration checks.</w:t>
      </w:r>
    </w:p>
    <w:p>
      <w:pPr>
        <w:pStyle w:val="Heading2"/>
        <w:spacing w:after="100" w:before="220"/>
      </w:pPr>
      <w:r>
        <w:t xml:space="preserve">PRE.5.c — Patient and / or family are educated about food-drug interaction.</w:t>
      </w:r>
    </w:p>
    <w:p>
      <w:pPr>
        <w:pStyle w:val="ListParagraph"/>
        <w:numPr>
          <w:ilvl w:val="0"/>
          <w:numId w:val="1"/>
        </w:numPr>
        <w:spacing w:after="60"/>
      </w:pPr>
      <w:r>
        <w:rPr>
          <w:sz w:val="22"/>
          <w:szCs w:val="22"/>
        </w:rPr>
        <w:t xml:space="preserve">Current food-drug-interaction list relevant to this hospital.</w:t>
      </w:r>
    </w:p>
    <w:p>
      <w:pPr>
        <w:pStyle w:val="ListParagraph"/>
        <w:numPr>
          <w:ilvl w:val="0"/>
          <w:numId w:val="1"/>
        </w:numPr>
        <w:spacing w:after="60"/>
      </w:pPr>
      <w:r>
        <w:rPr>
          <w:sz w:val="22"/>
          <w:szCs w:val="22"/>
        </w:rPr>
        <w:t xml:space="preserve">Diet or nursing education record when a listed drug is prescribed.</w:t>
      </w:r>
    </w:p>
    <w:p>
      <w:pPr>
        <w:pStyle w:val="ListParagraph"/>
        <w:numPr>
          <w:ilvl w:val="0"/>
          <w:numId w:val="1"/>
        </w:numPr>
        <w:spacing w:after="60"/>
      </w:pPr>
      <w:r>
        <w:rPr>
          <w:sz w:val="22"/>
          <w:szCs w:val="22"/>
        </w:rPr>
        <w:t xml:space="preserve">Medication-counselling or diet-note record.</w:t>
      </w:r>
    </w:p>
    <w:p>
      <w:pPr>
        <w:pStyle w:val="Heading2"/>
        <w:spacing w:after="100" w:before="220"/>
      </w:pPr>
      <w:r>
        <w:t xml:space="preserve">PRE.5.d — Patient and / or family are educated about diet and nutrition.</w:t>
      </w:r>
    </w:p>
    <w:p>
      <w:pPr>
        <w:pStyle w:val="ListParagraph"/>
        <w:numPr>
          <w:ilvl w:val="0"/>
          <w:numId w:val="1"/>
        </w:numPr>
        <w:spacing w:after="60"/>
      </w:pPr>
      <w:r>
        <w:rPr>
          <w:sz w:val="22"/>
          <w:szCs w:val="22"/>
        </w:rPr>
        <w:t xml:space="preserve">Therapeutic-diet education record for in-patients.</w:t>
      </w:r>
    </w:p>
    <w:p>
      <w:pPr>
        <w:pStyle w:val="ListParagraph"/>
        <w:numPr>
          <w:ilvl w:val="0"/>
          <w:numId w:val="1"/>
        </w:numPr>
        <w:spacing w:after="60"/>
      </w:pPr>
      <w:r>
        <w:rPr>
          <w:sz w:val="22"/>
          <w:szCs w:val="22"/>
        </w:rPr>
        <w:t xml:space="preserve">Out-patient diet-education record when requested by the treating doctor.</w:t>
      </w:r>
    </w:p>
    <w:p>
      <w:pPr>
        <w:pStyle w:val="ListParagraph"/>
        <w:numPr>
          <w:ilvl w:val="0"/>
          <w:numId w:val="1"/>
        </w:numPr>
        <w:spacing w:after="60"/>
      </w:pPr>
      <w:r>
        <w:rPr>
          <w:sz w:val="22"/>
          <w:szCs w:val="22"/>
        </w:rPr>
        <w:t xml:space="preserve">Confirmation education was patient-specific, not a generic poster.</w:t>
      </w:r>
    </w:p>
    <w:p>
      <w:pPr>
        <w:pStyle w:val="Heading2"/>
        <w:spacing w:after="100" w:before="220"/>
      </w:pPr>
      <w:r>
        <w:t xml:space="preserve">PRE.5.e — Patient and / or family are educated about immunisations.</w:t>
      </w:r>
    </w:p>
    <w:p>
      <w:pPr>
        <w:pStyle w:val="ListParagraph"/>
        <w:numPr>
          <w:ilvl w:val="0"/>
          <w:numId w:val="1"/>
        </w:numPr>
        <w:spacing w:after="60"/>
      </w:pPr>
      <w:r>
        <w:rPr>
          <w:sz w:val="22"/>
          <w:szCs w:val="22"/>
        </w:rPr>
        <w:t xml:space="preserve">Immunisation-advice record, adult and paediatric as applicable.</w:t>
      </w:r>
    </w:p>
    <w:p>
      <w:pPr>
        <w:pStyle w:val="ListParagraph"/>
        <w:numPr>
          <w:ilvl w:val="0"/>
          <w:numId w:val="1"/>
        </w:numPr>
        <w:spacing w:after="60"/>
      </w:pPr>
      <w:r>
        <w:rPr>
          <w:sz w:val="22"/>
          <w:szCs w:val="22"/>
        </w:rPr>
        <w:t xml:space="preserve">Vaccines-due record kept by the treating doctor or immunisation-clinic nurse.</w:t>
      </w:r>
    </w:p>
    <w:p>
      <w:pPr>
        <w:pStyle w:val="ListParagraph"/>
        <w:numPr>
          <w:ilvl w:val="0"/>
          <w:numId w:val="1"/>
        </w:numPr>
        <w:spacing w:after="60"/>
      </w:pPr>
      <w:r>
        <w:rPr>
          <w:sz w:val="22"/>
          <w:szCs w:val="22"/>
        </w:rPr>
        <w:t xml:space="preserve">Universal Immunisation Programme reference for paediatric advice.</w:t>
      </w:r>
    </w:p>
    <w:p>
      <w:pPr>
        <w:pStyle w:val="Heading2"/>
        <w:spacing w:after="100" w:before="220"/>
      </w:pPr>
      <w:r>
        <w:t xml:space="preserve">PRE.5.f — Patient and /or family are educated on various pain management techniques, when appropriate.</w:t>
      </w:r>
    </w:p>
    <w:p>
      <w:pPr>
        <w:pStyle w:val="ListParagraph"/>
        <w:numPr>
          <w:ilvl w:val="0"/>
          <w:numId w:val="1"/>
        </w:numPr>
        <w:spacing w:after="60"/>
      </w:pPr>
      <w:r>
        <w:rPr>
          <w:sz w:val="22"/>
          <w:szCs w:val="22"/>
        </w:rPr>
        <w:t xml:space="preserve">Long-term pain-management education record, within the patient's personal, cultural or religious beliefs.</w:t>
      </w:r>
    </w:p>
    <w:p>
      <w:pPr>
        <w:pStyle w:val="ListParagraph"/>
        <w:numPr>
          <w:ilvl w:val="0"/>
          <w:numId w:val="1"/>
        </w:numPr>
        <w:spacing w:after="60"/>
      </w:pPr>
      <w:r>
        <w:rPr>
          <w:sz w:val="22"/>
          <w:szCs w:val="22"/>
        </w:rPr>
        <w:t xml:space="preserve">Named record of who delivers long-term pain education.</w:t>
      </w:r>
    </w:p>
    <w:p>
      <w:pPr>
        <w:pStyle w:val="ListParagraph"/>
        <w:numPr>
          <w:ilvl w:val="0"/>
          <w:numId w:val="1"/>
        </w:numPr>
        <w:spacing w:after="60"/>
      </w:pPr>
      <w:r>
        <w:rPr>
          <w:sz w:val="22"/>
          <w:szCs w:val="22"/>
        </w:rPr>
        <w:t xml:space="preserve">Record distinguishing this from acute post-operative pain teaching.</w:t>
      </w:r>
    </w:p>
    <w:p>
      <w:pPr>
        <w:pStyle w:val="Heading2"/>
        <w:spacing w:after="100" w:before="220"/>
      </w:pPr>
      <w:r>
        <w:t xml:space="preserve">PRE.5.g — Patient and/or family are educated about their specific disease process, complications and prevention strategies.</w:t>
      </w:r>
    </w:p>
    <w:p>
      <w:pPr>
        <w:pStyle w:val="ListParagraph"/>
        <w:numPr>
          <w:ilvl w:val="0"/>
          <w:numId w:val="1"/>
        </w:numPr>
        <w:spacing w:after="60"/>
      </w:pPr>
      <w:r>
        <w:rPr>
          <w:sz w:val="22"/>
          <w:szCs w:val="22"/>
        </w:rPr>
        <w:t xml:space="preserve">Disease-specific education record — process, complications, prevention, lifestyle, diet, immunisation.</w:t>
      </w:r>
    </w:p>
    <w:p>
      <w:pPr>
        <w:pStyle w:val="ListParagraph"/>
        <w:numPr>
          <w:ilvl w:val="0"/>
          <w:numId w:val="1"/>
        </w:numPr>
        <w:spacing w:after="60"/>
      </w:pPr>
      <w:r>
        <w:rPr>
          <w:sz w:val="22"/>
          <w:szCs w:val="22"/>
        </w:rPr>
        <w:t xml:space="preserve">Supporting material (booklet, video, leaflet) used.</w:t>
      </w:r>
    </w:p>
    <w:p>
      <w:pPr>
        <w:pStyle w:val="ListParagraph"/>
        <w:numPr>
          <w:ilvl w:val="0"/>
          <w:numId w:val="1"/>
        </w:numPr>
        <w:spacing w:after="60"/>
      </w:pPr>
      <w:r>
        <w:rPr>
          <w:sz w:val="22"/>
          <w:szCs w:val="22"/>
        </w:rPr>
        <w:t xml:space="preserve">Treating-doctor assignment and nursing/health-educator delivery record.</w:t>
      </w:r>
    </w:p>
    <w:p>
      <w:pPr>
        <w:pStyle w:val="Heading2"/>
        <w:spacing w:after="100" w:before="220"/>
      </w:pPr>
      <w:r>
        <w:t xml:space="preserve">PRE.5.h — Patient and/or family are educated about preventing healthcare associated infections.</w:t>
      </w:r>
    </w:p>
    <w:p>
      <w:pPr>
        <w:pStyle w:val="ListParagraph"/>
        <w:numPr>
          <w:ilvl w:val="0"/>
          <w:numId w:val="1"/>
        </w:numPr>
        <w:spacing w:after="60"/>
      </w:pPr>
      <w:r>
        <w:rPr>
          <w:sz w:val="22"/>
          <w:szCs w:val="22"/>
        </w:rPr>
        <w:t xml:space="preserve">HAI-prevention education record on the admission checklist — hand hygiene, avoiding overcrowding.</w:t>
      </w:r>
    </w:p>
    <w:p>
      <w:pPr>
        <w:pStyle w:val="ListParagraph"/>
        <w:numPr>
          <w:ilvl w:val="0"/>
          <w:numId w:val="1"/>
        </w:numPr>
        <w:spacing w:after="60"/>
      </w:pPr>
      <w:r>
        <w:rPr>
          <w:sz w:val="22"/>
          <w:szCs w:val="22"/>
        </w:rPr>
        <w:t xml:space="preserve">Cross-reference to the IPC chapter's infection-prevention programme.</w:t>
      </w:r>
    </w:p>
    <w:p>
      <w:pPr>
        <w:pStyle w:val="ListParagraph"/>
        <w:numPr>
          <w:ilvl w:val="0"/>
          <w:numId w:val="1"/>
        </w:numPr>
        <w:spacing w:after="60"/>
      </w:pPr>
      <w:r>
        <w:rPr>
          <w:sz w:val="22"/>
          <w:szCs w:val="22"/>
        </w:rPr>
        <w:t xml:space="preserve">Confirmation person-to-person education occurred, not posters alone.</w:t>
      </w:r>
    </w:p>
    <w:p>
      <w:pPr>
        <w:pStyle w:val="Heading2"/>
        <w:spacing w:after="100" w:before="220"/>
      </w:pPr>
      <w:r>
        <w:t xml:space="preserve">PRE.5.i — The patients and/or family members’ special educational needs are identified and addressed.</w:t>
      </w:r>
    </w:p>
    <w:p>
      <w:pPr>
        <w:pStyle w:val="ListParagraph"/>
        <w:numPr>
          <w:ilvl w:val="0"/>
          <w:numId w:val="1"/>
        </w:numPr>
        <w:spacing w:after="60"/>
      </w:pPr>
      <w:r>
        <w:rPr>
          <w:sz w:val="22"/>
          <w:szCs w:val="22"/>
        </w:rPr>
        <w:t xml:space="preserve">Special-educational-need identification record in the patient's chart (for example ADHD, autism, physical disability, communication needs).</w:t>
      </w:r>
    </w:p>
    <w:p>
      <w:pPr>
        <w:pStyle w:val="ListParagraph"/>
        <w:numPr>
          <w:ilvl w:val="0"/>
          <w:numId w:val="1"/>
        </w:numPr>
        <w:spacing w:after="60"/>
      </w:pPr>
      <w:r>
        <w:rPr>
          <w:sz w:val="22"/>
          <w:szCs w:val="22"/>
        </w:rPr>
        <w:t xml:space="preserve">Adapted counselling or material record addressing that need.</w:t>
      </w:r>
    </w:p>
    <w:p>
      <w:pPr>
        <w:pStyle w:val="ListParagraph"/>
        <w:numPr>
          <w:ilvl w:val="0"/>
          <w:numId w:val="1"/>
        </w:numPr>
        <w:spacing w:after="60"/>
      </w:pPr>
      <w:r>
        <w:rPr>
          <w:sz w:val="22"/>
          <w:szCs w:val="22"/>
        </w:rPr>
        <w:t xml:space="preserve">Confirmation the identified need was actually met, not only flagged.</w:t>
      </w:r>
    </w:p>
    <w:p>
      <w:pPr>
        <w:pStyle w:val="Heading2"/>
        <w:spacing w:after="100" w:before="220"/>
      </w:pPr>
      <w:r>
        <w:t xml:space="preserve">PRE.5.j — The organisation has a mechanism to promote patient engagement to enhance clinical outcomes, safety and quality.</w:t>
      </w:r>
    </w:p>
    <w:p>
      <w:pPr>
        <w:pStyle w:val="ListParagraph"/>
        <w:numPr>
          <w:ilvl w:val="0"/>
          <w:numId w:val="1"/>
        </w:numPr>
        <w:spacing w:after="60"/>
      </w:pPr>
      <w:r>
        <w:rPr>
          <w:sz w:val="22"/>
          <w:szCs w:val="22"/>
        </w:rPr>
        <w:t xml:space="preserve">Patient-engagement activity record — support group, safety-improvement involvement, incident-reporting encouragement.</w:t>
      </w:r>
    </w:p>
    <w:p>
      <w:pPr>
        <w:pStyle w:val="ListParagraph"/>
        <w:numPr>
          <w:ilvl w:val="0"/>
          <w:numId w:val="1"/>
        </w:numPr>
        <w:spacing w:after="60"/>
      </w:pPr>
      <w:r>
        <w:rPr>
          <w:sz w:val="22"/>
          <w:szCs w:val="22"/>
        </w:rPr>
        <w:t xml:space="preserve">Patient advisory council or safety-champion record, where implemented.</w:t>
      </w:r>
    </w:p>
    <w:p>
      <w:pPr>
        <w:pStyle w:val="ListParagraph"/>
        <w:numPr>
          <w:ilvl w:val="0"/>
          <w:numId w:val="1"/>
        </w:numPr>
        <w:spacing w:after="60"/>
      </w:pPr>
      <w:r>
        <w:rPr>
          <w:sz w:val="22"/>
          <w:szCs w:val="22"/>
        </w:rPr>
        <w:t xml:space="preserve">Quarterly engagement-activity log by the Quality Coordinator.</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«HCO/PRE/POL/05»  |  Controlled document  |  Information and Education about Healthcare Needs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2026-08-21T14:58:56.243Z</dcterms:created>
  <dcterms:modified xsi:type="dcterms:W3CDTF">2026-08-21T14:58:56.244Z</dcterms:modified>
</cp:coreProperties>
</file>

<file path=docProps/custom.xml><?xml version="1.0" encoding="utf-8"?>
<Properties xmlns="http://schemas.openxmlformats.org/officeDocument/2006/custom-properties" xmlns:vt="http://schemas.openxmlformats.org/officeDocument/2006/docPropsVTypes"/>
</file>