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Patient Safety, Risk Management and Outsourced Services</w:t>
      </w:r>
    </w:p>
    <w:p>
      <w:pPr>
        <w:spacing w:after="240"/>
        <w:jc w:val="center"/>
      </w:pPr>
      <w:r>
        <w:rPr>
          <w:i/>
          <w:iCs/>
          <w:sz w:val="20"/>
          <w:szCs w:val="20"/>
        </w:rPr>
        <w:t xml:space="preserve">HCO Full Accreditation, 6th Edition — ROM.6.</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«HCO/ROM/POL/06»</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Leadership ensures that patient-safety aspects and risk-management issues are an integral part of patient care and hospital management.</w:t>
      </w:r>
    </w:p>
    <w:p>
      <w:pPr>
        <w:pStyle w:val="Heading1"/>
        <w:spacing w:after="120" w:before="280"/>
      </w:pPr>
      <w:r>
        <w:t xml:space="preserve">1. Purpose</w:t>
      </w:r>
    </w:p>
    <w:p>
      <w:pPr>
        <w:spacing w:after="140"/>
      </w:pPr>
      <w:r>
        <w:rPr>
          <w:sz w:val="22"/>
          <w:szCs w:val="22"/>
        </w:rPr>
        <w:t xml:space="preserve">This policy says how «Hospital Name» meets NABH Hospitals 6th Edition standard ROM.6: Leadership ensures that patient-safety aspects and risk-management issues are an integral part of patient care and hospital management.</w:t>
      </w:r>
    </w:p>
    <w:p>
      <w:pPr>
        <w:spacing w:after="140"/>
      </w:pPr>
      <w:r>
        <w:rPr>
          <w:sz w:val="22"/>
          <w:szCs w:val="22"/>
        </w:rPr>
        <w:t xml:space="preserve">This policy covers all 6 requirements under this standard, listed in detail below.</w:t>
      </w:r>
    </w:p>
    <w:p>
      <w:pPr>
        <w:spacing w:after="140"/>
      </w:pPr>
      <w:r>
        <w:rPr>
          <w:sz w:val="22"/>
          <w:szCs w:val="22"/>
        </w:rPr>
        <w:t xml:space="preserve">Chapter intent (official Standards PDF): The management of the healthcare organisation is aware of and manages all the key components of governance. Those responsible for governance are identified and their roles defined. The standards encourage the governance of the organisation professionally and ethically. Clinical governance framework is established, that includes clinical audits, clinical pathways, education and research. The responsibilities of management are defined. The responsibilities of the leaders at all levels are defined. The management executes its responsibility for compliance with all applicable regulations. Those responsible for governance address the organisations social responsibility. Leaders ensure that patient-safety and risk-management issues are an integral part of patient care and hospital management. The Organisation has a written guidance in place for change management and service continuity plan.</w:t>
      </w:r>
    </w:p>
    <w:p>
      <w:pPr>
        <w:spacing w:after="140"/>
      </w:pPr>
      <w:r>
        <w:rPr>
          <w:sz w:val="22"/>
          <w:szCs w:val="22"/>
        </w:rPr>
        <w:t xml:space="preserve">This policy covers patient safety, risk management and outsourced services specifically. Related duties — like patient assessment, clinical care, medication management, patient rights, infection control, or quality and safety monitoring — are covered in the hospital's other policies, not repeated here. Other ROM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those responsible for governance, the person heading the organisation, departmental leaders, and staff who run ethics, sustainability, risk or outsourcing at «Hospital Name», including the «Medical Superintendent», «those responsible for governance» as identified under ROM.1, departmental leaders and the Quality Coordinator.</w:t>
      </w:r>
    </w:p>
    <w:p>
      <w:pPr>
        <w:spacing w:after="140"/>
      </w:pPr>
      <w:r>
        <w:rPr>
          <w:sz w:val="22"/>
          <w:szCs w:val="22"/>
        </w:rPr>
        <w:t xml:space="preserve">This policy covers all 6 requirements under this standard, listed in detail below.</w:t>
      </w:r>
    </w:p>
    <w:p>
      <w:pPr>
        <w:spacing w:after="140"/>
      </w:pPr>
      <w:r>
        <w:rPr>
          <w:sz w:val="22"/>
          <w:szCs w:val="22"/>
        </w:rPr>
        <w:t xml:space="preserve">This policy covers patient safety, risk management and outsourced services specifically. Related duties — like patient assessment, clinical care, medication management, patient rights, infection control, or quality and safety monitoring — are covered in the hospital's other policies, not repeated here. Spell out abbreviations on first use in training materials. OE counts/levels/asterisks stay with the official portal Standards PDF. Method notes come from the Guidebook Interpretation paragraphs (scanned PDF md5 2c4489ee98de4ae9b49cba168ea9f42a).</w:t>
      </w:r>
    </w:p>
    <w:p>
      <w:pPr>
        <w:pStyle w:val="Heading1"/>
        <w:spacing w:after="120" w:before="280"/>
      </w:pPr>
      <w:r>
        <w:t xml:space="preserve">3. Policy standards</w:t>
      </w:r>
    </w:p>
    <w:p>
      <w:pPr>
        <w:spacing w:after="140"/>
      </w:pPr>
      <w:r>
        <w:rPr>
          <w:sz w:val="22"/>
          <w:szCs w:val="22"/>
        </w:rPr>
        <w:t xml:space="preserve">«Hospital Name» implements ROM.6 so that leadership ensures that patient-safety aspects and risk-management issues are an integral part of patient care and hospital management.</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Leadership ensures proactive risk management across the organisation.</w:t>
      </w:r>
    </w:p>
    <w:p>
      <w:pPr>
        <w:spacing w:after="80"/>
      </w:pPr>
      <w:r>
        <w:rPr>
          <w:sz w:val="22"/>
          <w:szCs w:val="22"/>
        </w:rPr>
        <w:t xml:space="preserve">2. Do not skip: Leadership provides resources for proactive risk-assessment and risk- reduction activities.</w:t>
      </w:r>
    </w:p>
    <w:p>
      <w:pPr>
        <w:spacing w:after="80"/>
      </w:pPr>
      <w:r>
        <w:rPr>
          <w:sz w:val="22"/>
          <w:szCs w:val="22"/>
        </w:rPr>
        <w:t xml:space="preserve">3. Do not skip: Leadership ensures integration between quality improvement, risk- management and strategic planning within...</w:t>
      </w:r>
    </w:p>
    <w:p>
      <w:pPr>
        <w:spacing w:after="80"/>
      </w:pPr>
      <w:r>
        <w:rPr>
          <w:sz w:val="22"/>
          <w:szCs w:val="22"/>
        </w:rPr>
        <w:t xml:space="preserve">4. Do not skip: Leadership ensures implementation of systems for internal and external reporting of system and process...</w:t>
      </w:r>
    </w:p>
    <w:p>
      <w:pPr>
        <w:spacing w:after="80"/>
      </w:pPr>
      <w:r>
        <w:rPr>
          <w:sz w:val="22"/>
          <w:szCs w:val="22"/>
        </w:rPr>
        <w:t xml:space="preserve">5. Do not skip: Leadership ensures that it has a documented agreement for all outsourced services that include service...</w:t>
      </w:r>
    </w:p>
    <w:p>
      <w:pPr>
        <w:spacing w:after="80"/>
      </w:pPr>
      <w:r>
        <w:rPr>
          <w:sz w:val="22"/>
          <w:szCs w:val="22"/>
        </w:rPr>
        <w:t xml:space="preserve">6. Do not skip: Leadership monitors the quality of the outsourced services and improvements are made as required.</w:t>
      </w:r>
    </w:p>
    <w:p>
      <w:pPr>
        <w:spacing w:after="80"/>
      </w:pPr>
      <w:r>
        <w:rPr>
          <w:sz w:val="22"/>
          <w:szCs w:val="22"/>
        </w:rPr>
        <w:t xml:space="preserve">7. Do not bypass the stop-work authority in section 6 when the trigger conditions are met.</w:t>
      </w:r>
    </w:p>
    <w:p>
      <w:pPr>
        <w:spacing w:after="80"/>
      </w:pPr>
      <w:r>
        <w:rPr>
          <w:sz w:val="22"/>
          <w:szCs w:val="22"/>
        </w:rPr>
        <w:t xml:space="preserve">8. Staff who see a ROM.6 rule broken report it the same shift to the «department in-charge» or the «Medical Superintendent».</w:t>
      </w:r>
    </w:p>
    <w:p>
      <w:pPr>
        <w:pStyle w:val="Heading1"/>
        <w:spacing w:after="120" w:before="280"/>
      </w:pPr>
      <w:r>
        <w:t xml:space="preserve">5. What we do</w:t>
      </w:r>
    </w:p>
    <w:p>
      <w:pPr>
        <w:pStyle w:val="Heading2"/>
        <w:spacing w:after="100" w:before="220"/>
      </w:pPr>
      <w:r>
        <w:t xml:space="preserve">5.1 Leadership ensures proactive risk management across the organisation</w:t>
      </w:r>
    </w:p>
    <w:p>
      <w:pPr>
        <w:spacing w:after="140"/>
      </w:pPr>
      <w:r>
        <w:rPr>
          <w:sz w:val="22"/>
          <w:szCs w:val="22"/>
        </w:rPr>
        <w:t xml:space="preserve">Leadership ensures proactive risk management across the organisation: a risk-management system, identification of clinical and organisational risks (examples the Guidebook names include falls, infections, vulnerable-patient risks such as DVT, and clinical alarms), assessment, action and review.</w:t>
      </w:r>
    </w:p>
    <w:p>
      <w:pPr>
        <w:spacing w:after="140"/>
      </w:pPr>
      <w:r>
        <w:rPr>
          <w:sz w:val="22"/>
          <w:szCs w:val="22"/>
        </w:rPr>
        <w:t xml:space="preserve">The «Medical Superintendent» owns the system with the «Quality Coordinator». A register that is not used on the floor is not this CORE asterisked element.</w:t>
      </w:r>
    </w:p>
    <w:p>
      <w:pPr>
        <w:spacing w:after="140"/>
      </w:pPr>
      <w:r>
        <w:rPr>
          <w:sz w:val="22"/>
          <w:szCs w:val="22"/>
        </w:rPr>
        <w:t xml:space="preserve">Method note (from guidebook interpretation): Risk management shall include clinical and non-clinical (strategic, financial, operational and hazard) risks. It shall include risk identification at every level of the organisation, analysis, prioritisation and risk alleviation. The same shall be documented. At a minimum, analysis of potential risks must include the likelihood of its occurrence and the potential severity of the impact or consequences. The identified risks shall be documented in a risk register, which shall be updated at regular intervals. This shall be documented as a “risk management plan”. It shall include the various risks identified, the action taken for risk alleviation of each of these risks and the mechanism for informing staff regarding the same. Other components of the risk management plan include contingency plans and education and training of staff. Further, the risk management plan shall be monitored and reviewed for continued effectiveness at least annually. The results of the review shall be communicated to the relevant stakeholders in the organisation. This could be done using a matrix. Clinical-risk assessment could include: * Medication management, covering issues such as patient/service-user allergies, antimicrobial resistance, use of cytotoxic drugs and narcotics and controlled drugs management. * Equipment risks - fire/injury risks from the use of LASER, and cautery Use of ionising radiation, radioactive isotopes and nuclear medicine are some of the examples. * Risks resulting from long-term conditions. Patient falls * Infections * Risks related with a vulnerable patient like Deep Venous Thrombosis * Risk associated with clinical alarms.</w:t>
      </w:r>
    </w:p>
    <w:p>
      <w:pPr>
        <w:spacing w:after="140"/>
      </w:pPr>
      <w:r>
        <w:rPr>
          <w:sz w:val="22"/>
          <w:szCs w:val="22"/>
        </w:rPr>
        <w:t xml:space="preserve">This objective element is asterisked in the official Standards PDF — documentation of the process is required.</w:t>
      </w:r>
    </w:p>
    <w:p>
      <w:pPr>
        <w:spacing w:after="140"/>
      </w:pPr>
      <w:r>
        <w:rPr>
          <w:sz w:val="22"/>
          <w:szCs w:val="22"/>
        </w:rPr>
        <w:t xml:space="preserve">This is a CORE objective element — non-compliance is not acceptable for accreditation.</w:t>
      </w:r>
    </w:p>
    <w:p>
      <w:pPr>
        <w:pStyle w:val="Heading2"/>
        <w:spacing w:after="100" w:before="220"/>
      </w:pPr>
      <w:r>
        <w:t xml:space="preserve">5.2 Leadership provides resources for proactive risk-assessment and risk-...</w:t>
      </w:r>
    </w:p>
    <w:p>
      <w:pPr>
        <w:spacing w:after="140"/>
      </w:pPr>
      <w:r>
        <w:rPr>
          <w:sz w:val="22"/>
          <w:szCs w:val="22"/>
        </w:rPr>
        <w:t xml:space="preserve">Leadership provides resources for proactive risk-assessment and risk-reduction: time, tools, training and a contingency for preventive actions the leaders require.</w:t>
      </w:r>
    </w:p>
    <w:p>
      <w:pPr>
        <w:spacing w:after="140"/>
      </w:pPr>
      <w:r>
        <w:rPr>
          <w:sz w:val="22"/>
          <w:szCs w:val="22"/>
        </w:rPr>
        <w:t xml:space="preserve">The «Medical Superintendent» signs the resource line. A risk system with no time or budget to act is not this element.</w:t>
      </w:r>
    </w:p>
    <w:p>
      <w:pPr>
        <w:spacing w:after="140"/>
      </w:pPr>
      <w:r>
        <w:rPr>
          <w:sz w:val="22"/>
          <w:szCs w:val="22"/>
        </w:rPr>
        <w:t xml:space="preserve">Method note (from guidebook interpretation): There shall be sufficient resources kept as a contingency to address the risk reduction activities as and when the leaders proactively suggest. These shall be directed at preventive actions wherever feasible. Refer to the glossary for a definition of “risk assessment” and “risk reduction”.</w:t>
      </w:r>
    </w:p>
    <w:p>
      <w:pPr>
        <w:pStyle w:val="Heading2"/>
        <w:spacing w:after="100" w:before="220"/>
      </w:pPr>
      <w:r>
        <w:t xml:space="preserve">5.3 Leadership ensures integration between quality improvement, risk-...</w:t>
      </w:r>
    </w:p>
    <w:p>
      <w:pPr>
        <w:spacing w:after="140"/>
      </w:pPr>
      <w:r>
        <w:rPr>
          <w:sz w:val="22"/>
          <w:szCs w:val="22"/>
        </w:rPr>
        <w:t xml:space="preserve">Leadership ensures integration between quality improvement, risk management and strategic planning: risk and quality findings feed the plan; the plan names risk and quality work.</w:t>
      </w:r>
    </w:p>
    <w:p>
      <w:pPr>
        <w:spacing w:after="140"/>
      </w:pPr>
      <w:r>
        <w:rPr>
          <w:sz w:val="22"/>
          <w:szCs w:val="22"/>
        </w:rPr>
        <w:t xml:space="preserve">The «Quality Coordinator» shows the join in the «Quality Improvement Committee» and governance packs.</w:t>
      </w:r>
    </w:p>
    <w:p>
      <w:pPr>
        <w:spacing w:after="140"/>
      </w:pPr>
      <w:r>
        <w:rPr>
          <w:sz w:val="22"/>
          <w:szCs w:val="22"/>
        </w:rPr>
        <w:t xml:space="preserve">Method note (from guidebook interpretation): The leadership ensures that strategic planning incorporates risk management aspects in its strategic plan. Further, quality improvement shall also incorporate risk management aspects. Refer to PSQ.2.a.</w:t>
      </w:r>
    </w:p>
    <w:p>
      <w:pPr>
        <w:pStyle w:val="Heading2"/>
        <w:spacing w:after="100" w:before="220"/>
      </w:pPr>
      <w:r>
        <w:t xml:space="preserve">5.4 Leadership ensures implementation of systems for internal and external...</w:t>
      </w:r>
    </w:p>
    <w:p>
      <w:pPr>
        <w:spacing w:after="140"/>
      </w:pPr>
      <w:r>
        <w:rPr>
          <w:sz w:val="22"/>
          <w:szCs w:val="22"/>
        </w:rPr>
        <w:t xml:space="preserve">Leadership ensures systems for internal and external reporting of system and process failures (what is reported, to whom inside, and to which external agency when required, with timelines). The Guidebook example: MRI breakdown is reported internally to the head and to patients; a radiation-source event is reported to AERB; fire needs strong internal and external reporting.</w:t>
      </w:r>
    </w:p>
    <w:p>
      <w:pPr>
        <w:spacing w:after="140"/>
      </w:pPr>
      <w:r>
        <w:rPr>
          <w:sz w:val="22"/>
          <w:szCs w:val="22"/>
        </w:rPr>
        <w:t xml:space="preserve">A documented service-continuity plan covers fire and non-fire emergencies for critical operations and is tested at defined intervals. Skipping a required report is a stop-work trigger (section 6). This is an asterisked Achievement element.</w:t>
      </w:r>
    </w:p>
    <w:p>
      <w:pPr>
        <w:spacing w:after="140"/>
      </w:pPr>
      <w:r>
        <w:rPr>
          <w:sz w:val="22"/>
          <w:szCs w:val="22"/>
        </w:rPr>
        <w:t xml:space="preserve">Method note (from guidebook interpretation): The organisation has a system in place for internal and external reporting of system and process failures. The contingency plan shall be in place to deal with the situation of system and process failure anticipated within the organisation. In case the MRI machine of the organisation breaks down, internal reporting is to be done to head of the organisation and external reporting to be done to the patients. In case of a radiation source, external agency reporting is to AERB. In case of fire incidents, strong internal and external reporting systems are required. The system for reporting shall be documented. The organisation has a service continuity plan in case of fire and non-fire emergencies. The plan includes a mechanism for maintaining service continuity of the organisation’s critical operations. This plan shall help the organisation to improve its ability to respond when such incidents occur. The plan shall ensure that critical systems and services do not fail or that failures are recovered within minimum time frames. The plan shall be tested at regular intervals.</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5.5 Leadership ensures that it has a documented agreement for all...</w:t>
      </w:r>
    </w:p>
    <w:p>
      <w:pPr>
        <w:spacing w:after="140"/>
      </w:pPr>
      <w:r>
        <w:rPr>
          <w:sz w:val="22"/>
          <w:szCs w:val="22"/>
        </w:rPr>
        <w:t xml:space="preserve">Leadership ensures a documented agreement for every outsourced service, including service parameters (quality, numbers, reports, timelines) and how disputes are resolved. An affiliate or group firm still has an agreement.</w:t>
      </w:r>
    </w:p>
    <w:p>
      <w:pPr>
        <w:spacing w:after="140"/>
      </w:pPr>
      <w:r>
        <w:rPr>
          <w:sz w:val="22"/>
          <w:szCs w:val="22"/>
        </w:rPr>
        <w:t xml:space="preserve">Starting or continuing outsourced work without that agreement is a stop-work trigger (section 6).</w:t>
      </w:r>
    </w:p>
    <w:p>
      <w:pPr>
        <w:spacing w:after="140"/>
      </w:pPr>
      <w:r>
        <w:rPr>
          <w:sz w:val="22"/>
          <w:szCs w:val="22"/>
        </w:rPr>
        <w:t xml:space="preserve">Method note (from guidebook interpretation): The agreement shall specify the service parameters. Examples of service parameters include quality, numbers, reports and timelines. The agreement shall include agreed dispute resolution mechanisms. Even if a group/affiliate firm is providing services, there shall be an agreement with that unit.</w:t>
      </w:r>
    </w:p>
    <w:p>
      <w:pPr>
        <w:pStyle w:val="Heading2"/>
        <w:spacing w:after="100" w:before="220"/>
      </w:pPr>
      <w:r>
        <w:t xml:space="preserve">5.6 Leadership monitors the quality of the outsourced services and...</w:t>
      </w:r>
    </w:p>
    <w:p>
      <w:pPr>
        <w:spacing w:after="140"/>
      </w:pPr>
      <w:r>
        <w:rPr>
          <w:sz w:val="22"/>
          <w:szCs w:val="22"/>
        </w:rPr>
        <w:t xml:space="preserve">Leadership monitors the quality of outsourced services against the agreement at least «annually» (more often if the service is critical to patient care) and makes improvements with the vendor as required.</w:t>
      </w:r>
    </w:p>
    <w:p>
      <w:pPr>
        <w:spacing w:after="140"/>
      </w:pPr>
      <w:r>
        <w:rPr>
          <w:sz w:val="22"/>
          <w:szCs w:val="22"/>
        </w:rPr>
        <w:t xml:space="preserve">Where outsourcing is done solely under prescribed statutory norms or regulations, the Guidebook says monitoring the quality of that outsourced service is not mandatory. The «Medical Superintendent» holds review notes. An agreement without monitoring (when monitoring is required) is incomplete under this Achievement element.</w:t>
      </w:r>
    </w:p>
    <w:p>
      <w:pPr>
        <w:spacing w:after="140"/>
      </w:pPr>
      <w:r>
        <w:rPr>
          <w:sz w:val="22"/>
          <w:szCs w:val="22"/>
        </w:rPr>
        <w:t xml:space="preserve">Method note (from guidebook interpretation): The frequency of monitoring shall be determined by the organisation but shall not be less than once a year. This shall be done keeping in mind the criticality of that service towards providing patient care. It is preferable that the monitoring is done as per the service standards laid down by the organisation. Based on the results of the monitoring, the organisation shall work with the vendor to try and ensure that the agreed service parameters are met. In instances where the outsourcing has been done based on prescribed statutory norms/regulations, it is not mandatory to monitor the quality of the outsourced services.</w:t>
      </w:r>
    </w:p>
    <w:p>
      <w:pPr>
        <w:pStyle w:val="Heading1"/>
        <w:spacing w:after="120" w:before="280"/>
      </w:pPr>
      <w:r>
        <w:t xml:space="preserve">6. Stop-work authority</w:t>
      </w:r>
    </w:p>
    <w:p>
      <w:pPr>
        <w:spacing w:after="140"/>
      </w:pPr>
      <w:r>
        <w:rPr>
          <w:sz w:val="22"/>
          <w:szCs w:val="22"/>
        </w:rPr>
        <w:t xml:space="preserve">Do not start or continue an outsourced service when there is no documented agreement that includes service parameters (quality, numbers, reports, timelines and how disputes are resolved).</w:t>
      </w:r>
    </w:p>
    <w:p>
      <w:pPr>
        <w:spacing w:after="140"/>
      </w:pPr>
      <w:r>
        <w:rPr>
          <w:sz w:val="22"/>
          <w:szCs w:val="22"/>
        </w:rPr>
        <w:t xml:space="preserve">Do not skip the organisation's internal or external reporting path for a system or process failure that the written guidance requires to be reported.</w:t>
      </w:r>
    </w:p>
    <w:p>
      <w:pPr>
        <w:spacing w:after="140"/>
      </w:pPr>
      <w:r>
        <w:rPr>
          <w:sz w:val="22"/>
          <w:szCs w:val="22"/>
        </w:rPr>
        <w:t xml:space="preserve">Stop-work applies to the outsourced-service start/continue and to delay of required failure reporting. Immediate life-saving care continues.</w:t>
      </w:r>
    </w:p>
    <w:p>
      <w:pPr>
        <w:spacing w:after="140"/>
      </w:pPr>
      <w:r>
        <w:rPr>
          <w:sz w:val="22"/>
          <w:szCs w:val="22"/>
        </w:rPr>
        <w:t xml:space="preserve">The person who stops tells the «Medical Superintendent» the same shift. Refusing to start an unsigned outsourced service, or reporting a system failure, is not a disciplinary matter.</w:t>
      </w:r>
    </w:p>
    <w:p>
      <w:pPr>
        <w:pStyle w:val="Heading1"/>
        <w:spacing w:after="120" w:before="280"/>
      </w:pPr>
      <w:r>
        <w:t xml:space="preserve">7. Governance and responsibility</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Accountable that ROM.6 is resourced and followed.</w:t>
      </w:r>
    </w:p>
    <w:p>
      <w:pPr>
        <w:pStyle w:val="ListParagraph"/>
        <w:numPr>
          <w:ilvl w:val="0"/>
          <w:numId w:val="1"/>
        </w:numPr>
        <w:spacing w:after="60"/>
      </w:pPr>
      <w:r>
        <w:rPr>
          <w:sz w:val="22"/>
          <w:szCs w:val="22"/>
        </w:rPr>
        <w:t xml:space="preserve">Acts as the person heading the organisation unless «those responsible for governance» have appointed another leader.</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Owns day-to-day implementation and records for this standard.</w:t>
      </w:r>
    </w:p>
    <w:p>
      <w:pPr>
        <w:spacing w:after="20" w:before="100"/>
      </w:pPr>
      <w:r>
        <w:rPr>
          <w:b/>
          <w:bCs/>
          <w:sz w:val="22"/>
          <w:szCs w:val="22"/>
        </w:rPr>
        <w:t xml:space="preserve">those responsible for governance</w:t>
      </w:r>
    </w:p>
    <w:p>
      <w:pPr>
        <w:pStyle w:val="ListParagraph"/>
        <w:numPr>
          <w:ilvl w:val="0"/>
          <w:numId w:val="1"/>
        </w:numPr>
        <w:spacing w:after="60"/>
      </w:pPr>
      <w:r>
        <w:rPr>
          <w:sz w:val="22"/>
          <w:szCs w:val="22"/>
        </w:rPr>
        <w:t xml:space="preserve">Hold the duties ROM.1 assigns to the governing entity.</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 supports dashboards and committee reviews as this standard requires.</w:t>
      </w:r>
    </w:p>
    <w:p>
      <w:pPr>
        <w:spacing w:after="20" w:before="100"/>
      </w:pPr>
      <w:r>
        <w:rPr>
          <w:b/>
          <w:bCs/>
          <w:sz w:val="22"/>
          <w:szCs w:val="22"/>
        </w:rPr>
        <w:t xml:space="preserve">departmental leaders</w:t>
      </w:r>
    </w:p>
    <w:p>
      <w:pPr>
        <w:pStyle w:val="ListParagraph"/>
        <w:numPr>
          <w:ilvl w:val="0"/>
          <w:numId w:val="1"/>
        </w:numPr>
        <w:spacing w:after="60"/>
      </w:pPr>
      <w:r>
        <w:rPr>
          <w:sz w:val="22"/>
          <w:szCs w:val="22"/>
        </w:rPr>
        <w:t xml:space="preserve">Run the department-level duties this standard names.</w:t>
      </w:r>
    </w:p>
    <w:p>
      <w:pPr>
        <w:pStyle w:val="Heading1"/>
        <w:spacing w:after="120" w:before="280"/>
      </w:pPr>
      <w:r>
        <w:t xml:space="preserve">8.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Records for a sample of this standard's objective elements, checked against the What-we-do steps.</w:t>
      </w:r>
    </w:p>
    <w:p>
      <w:pPr>
        <w:pStyle w:val="ListParagraph"/>
        <w:numPr>
          <w:ilvl w:val="0"/>
          <w:numId w:val="1"/>
        </w:numPr>
        <w:spacing w:after="60"/>
      </w:pPr>
      <w:r>
        <w:rPr>
          <w:sz w:val="22"/>
          <w:szCs w:val="22"/>
        </w:rPr>
        <w:t xml:space="preserve">Documentary evidence is on file for each asterisked objective element in the sample.</w:t>
      </w:r>
    </w:p>
    <w:p>
      <w:pPr>
        <w:pStyle w:val="ListParagraph"/>
        <w:numPr>
          <w:ilvl w:val="0"/>
          <w:numId w:val="1"/>
        </w:numPr>
        <w:spacing w:after="60"/>
      </w:pPr>
      <w:r>
        <w:rPr>
          <w:sz w:val="22"/>
          <w:szCs w:val="22"/>
        </w:rPr>
        <w:t xml:space="preserve">CORE objective elements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Root-cause analysis is required when a gap found in this audit remains open beyond «90 days».</w:t>
      </w:r>
    </w:p>
    <w:p>
      <w:pPr>
        <w:spacing w:after="140"/>
      </w:pPr>
      <w:r>
        <w:rPr>
          <w:sz w:val="22"/>
          <w:szCs w:val="22"/>
        </w:rPr>
        <w:t xml:space="preserve">This policy is reviewed «annually», and sooner after a related governance change, statutory-register gap or outsourced-service failure.</w:t>
      </w:r>
    </w:p>
    <w:p>
      <w:pPr>
        <w:pStyle w:val="Heading1"/>
        <w:spacing w:after="120" w:before="280"/>
      </w:pPr>
      <w:r>
        <w:t xml:space="preserve">9.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Patient Safety, Risk Management and Outsourced Services policy of «Hospital Name».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Responsibilities of Management, standard ROM.6. Official portal PDF (OE text, counts, levels, asterisks).</w:t>
      </w:r>
    </w:p>
    <w:p>
      <w:pPr>
        <w:pStyle w:val="ListParagraph"/>
        <w:numPr>
          <w:ilvl w:val="0"/>
          <w:numId w:val="1"/>
        </w:numPr>
        <w:spacing w:after="60"/>
      </w:pPr>
      <w:r>
        <w:rPr>
          <w:sz w:val="22"/>
          <w:szCs w:val="22"/>
        </w:rPr>
        <w:t xml:space="preserve">NABH Guidebook to Accreditation Standards for Hospitals, 6th Edition — ROM.6 interpretations (source PDF md5 2c4489ee98de4ae9b49cba168ea9f42a; OCR policies/source/hco6_rom_guidebook_ocr.txt).</w:t>
      </w:r>
    </w:p>
    <w:p>
      <w:pPr>
        <w:pStyle w:val="ListParagraph"/>
        <w:numPr>
          <w:ilvl w:val="0"/>
          <w:numId w:val="1"/>
        </w:numPr>
        <w:spacing w:after="60"/>
      </w:pPr>
      <w:r>
        <w:rPr>
          <w:sz w:val="22"/>
          <w:szCs w:val="22"/>
        </w:rPr>
        <w:t xml:space="preserve">Internal documents of «Hospital Name»: governance role document, ethical-management framework, ESG / social-responsibility programme, applicable-legislation register, risk-management plan, outsourcing agreements named for ROM.6.</w:t>
      </w:r>
    </w:p>
    <w:p>
      <w:pPr>
        <w:pStyle w:val="Heading1"/>
        <w:spacing w:after="120" w:before="280"/>
      </w:pPr>
      <w:r>
        <w:t xml:space="preserve">11. Distribution</w:t>
      </w:r>
    </w:p>
    <w:p>
      <w:pPr>
        <w:spacing w:after="140"/>
      </w:pPr>
      <w:r>
        <w:rPr>
          <w:sz w:val="22"/>
          <w:szCs w:val="22"/>
        </w:rPr>
        <w:t xml:space="preserve">Medical Superintendent; those responsible for governance; Quality Coordinator; departmental leaders; staff covered by ROM.6</w:t>
      </w:r>
    </w:p>
    <w:p>
      <w:pPr>
        <w:pStyle w:val="Heading1"/>
        <w:spacing w:after="120" w:before="280"/>
      </w:pPr>
      <w:r>
        <w:t xml:space="preserve">12. Abbreviations</w:t>
      </w:r>
    </w:p>
    <w:p>
      <w:pPr>
        <w:spacing w:after="140"/>
      </w:pPr>
      <w:r>
        <w:rPr>
          <w:sz w:val="22"/>
          <w:szCs w:val="22"/>
        </w:rPr>
        <w:t xml:space="preserve">AERB — Atomic Energy Regulatory Board
CAPA — Corrective and Preventive Action
CORE — Core objective element (NABH)
ESG — Environment, Social and Governance
HCO — Hospital (Full Accreditation programme under NABH Hospitals 6th Edition)
NABH — National Accreditation Board for Hospitals and Healthcare Providers
OE — Objective Element
ROM — Responsibilities of Management (NABH Hospitals 6th Edition chapter)
SWOT — Strengths, Weaknesses, Opportunities and Threats</w:t>
      </w:r>
    </w:p>
    <w:p>
      <w:pPr>
        <w:pStyle w:val="Heading1"/>
        <w:spacing w:after="120" w:before="280"/>
      </w:pPr>
      <w:r>
        <w:t xml:space="preserve">13. Traceability to NABH HCO Full Accreditation 6th Edition ROM.6</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ROM.6.a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Leadership ensures proactive risk management across the organisation.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ROM.6.b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Leadership provides resources for proactive risk-assessment and risk- reduction activities.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ROM.6.c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Leadership ensures integration between quality improvement, risk- management and strategic planning within the organisation.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ROM.6.d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Leadership ensures implementation of systems for internal and external reporting of system and process failures.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ROM.6.e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Leadership ensures that it has a documented agreement for all outsourced services that include service parameters.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ROM.6.f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Leadership monitors the quality of the outsourced services and improvements are made as required.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ROM.6.a — Leadership ensures proactive risk management across the organisation.</w:t>
      </w:r>
    </w:p>
    <w:p>
      <w:pPr>
        <w:pStyle w:val="ListParagraph"/>
        <w:numPr>
          <w:ilvl w:val="0"/>
          <w:numId w:val="1"/>
        </w:numPr>
        <w:spacing w:after="60"/>
      </w:pPr>
      <w:r>
        <w:rPr>
          <w:sz w:val="22"/>
          <w:szCs w:val="22"/>
        </w:rPr>
        <w:t xml:space="preserve">Risk-management system document.</w:t>
      </w:r>
    </w:p>
    <w:p>
      <w:pPr>
        <w:pStyle w:val="ListParagraph"/>
        <w:numPr>
          <w:ilvl w:val="0"/>
          <w:numId w:val="1"/>
        </w:numPr>
        <w:spacing w:after="60"/>
      </w:pPr>
      <w:r>
        <w:rPr>
          <w:sz w:val="22"/>
          <w:szCs w:val="22"/>
        </w:rPr>
        <w:t xml:space="preserve">Risk register showing identified clinical and organisational risks (for example falls, infection, vulnerable-patient risks such as DVT, clinical alarms).</w:t>
      </w:r>
    </w:p>
    <w:p>
      <w:pPr>
        <w:pStyle w:val="ListParagraph"/>
        <w:numPr>
          <w:ilvl w:val="0"/>
          <w:numId w:val="1"/>
        </w:numPr>
        <w:spacing w:after="60"/>
      </w:pPr>
      <w:r>
        <w:rPr>
          <w:sz w:val="22"/>
          <w:szCs w:val="22"/>
        </w:rPr>
        <w:t xml:space="preserve">Assessment, action and review log for a sample of risks on the register.</w:t>
      </w:r>
    </w:p>
    <w:p>
      <w:pPr>
        <w:pStyle w:val="Heading2"/>
        <w:spacing w:after="100" w:before="220"/>
      </w:pPr>
      <w:r>
        <w:t xml:space="preserve">ROM.6.b — Leadership provides resources for proactive risk-assessment and risk- reduction activities.</w:t>
      </w:r>
    </w:p>
    <w:p>
      <w:pPr>
        <w:pStyle w:val="ListParagraph"/>
        <w:numPr>
          <w:ilvl w:val="0"/>
          <w:numId w:val="1"/>
        </w:numPr>
        <w:spacing w:after="60"/>
      </w:pPr>
      <w:r>
        <w:rPr>
          <w:sz w:val="22"/>
          <w:szCs w:val="22"/>
        </w:rPr>
        <w:t xml:space="preserve">Budget or resource-allocation record for risk-assessment and risk-reduction activity.</w:t>
      </w:r>
    </w:p>
    <w:p>
      <w:pPr>
        <w:pStyle w:val="ListParagraph"/>
        <w:numPr>
          <w:ilvl w:val="0"/>
          <w:numId w:val="1"/>
        </w:numPr>
        <w:spacing w:after="60"/>
      </w:pPr>
      <w:r>
        <w:rPr>
          <w:sz w:val="22"/>
          <w:szCs w:val="22"/>
        </w:rPr>
        <w:t xml:space="preserve">Training record for staff involved in risk activities.</w:t>
      </w:r>
    </w:p>
    <w:p>
      <w:pPr>
        <w:pStyle w:val="ListParagraph"/>
        <w:numPr>
          <w:ilvl w:val="0"/>
          <w:numId w:val="1"/>
        </w:numPr>
        <w:spacing w:after="60"/>
      </w:pPr>
      <w:r>
        <w:rPr>
          <w:sz w:val="22"/>
          <w:szCs w:val="22"/>
        </w:rPr>
        <w:t xml:space="preserve">Contingency-allocation evidence for preventive action.</w:t>
      </w:r>
    </w:p>
    <w:p>
      <w:pPr>
        <w:pStyle w:val="Heading2"/>
        <w:spacing w:after="100" w:before="220"/>
      </w:pPr>
      <w:r>
        <w:t xml:space="preserve">ROM.6.c — Leadership ensures integration between quality improvement, risk- management and strategic planning within the organisation.</w:t>
      </w:r>
    </w:p>
    <w:p>
      <w:pPr>
        <w:pStyle w:val="ListParagraph"/>
        <w:numPr>
          <w:ilvl w:val="0"/>
          <w:numId w:val="1"/>
        </w:numPr>
        <w:spacing w:after="60"/>
      </w:pPr>
      <w:r>
        <w:rPr>
          <w:sz w:val="22"/>
          <w:szCs w:val="22"/>
        </w:rPr>
        <w:t xml:space="preserve">Quality Improvement Committee minutes showing risk findings feeding the plan.</w:t>
      </w:r>
    </w:p>
    <w:p>
      <w:pPr>
        <w:pStyle w:val="ListParagraph"/>
        <w:numPr>
          <w:ilvl w:val="0"/>
          <w:numId w:val="1"/>
        </w:numPr>
        <w:spacing w:after="60"/>
      </w:pPr>
      <w:r>
        <w:rPr>
          <w:sz w:val="22"/>
          <w:szCs w:val="22"/>
        </w:rPr>
        <w:t xml:space="preserve">Strategic plan referencing risk-management and quality work.</w:t>
      </w:r>
    </w:p>
    <w:p>
      <w:pPr>
        <w:pStyle w:val="ListParagraph"/>
        <w:numPr>
          <w:ilvl w:val="0"/>
          <w:numId w:val="1"/>
        </w:numPr>
        <w:spacing w:after="60"/>
      </w:pPr>
      <w:r>
        <w:rPr>
          <w:sz w:val="22"/>
          <w:szCs w:val="22"/>
        </w:rPr>
        <w:t xml:space="preserve">Governance pack showing the link between risk, quality and planning.</w:t>
      </w:r>
    </w:p>
    <w:p>
      <w:pPr>
        <w:pStyle w:val="Heading2"/>
        <w:spacing w:after="100" w:before="220"/>
      </w:pPr>
      <w:r>
        <w:t xml:space="preserve">ROM.6.d — Leadership ensures implementation of systems for internal and external reporting of system and process failures.</w:t>
      </w:r>
    </w:p>
    <w:p>
      <w:pPr>
        <w:pStyle w:val="ListParagraph"/>
        <w:numPr>
          <w:ilvl w:val="0"/>
          <w:numId w:val="1"/>
        </w:numPr>
        <w:spacing w:after="60"/>
      </w:pPr>
      <w:r>
        <w:rPr>
          <w:sz w:val="22"/>
          <w:szCs w:val="22"/>
        </w:rPr>
        <w:t xml:space="preserve">Reporting-system document naming what is reported, to whom internally, and to which external agency, with timelines.</w:t>
      </w:r>
    </w:p>
    <w:p>
      <w:pPr>
        <w:pStyle w:val="ListParagraph"/>
        <w:numPr>
          <w:ilvl w:val="0"/>
          <w:numId w:val="1"/>
        </w:numPr>
        <w:spacing w:after="60"/>
      </w:pPr>
      <w:r>
        <w:rPr>
          <w:sz w:val="22"/>
          <w:szCs w:val="22"/>
        </w:rPr>
        <w:t xml:space="preserve">Sampled internal and external failure reports (for example equipment breakdown, an external-agency notification such as AERB for a radiation-source event).</w:t>
      </w:r>
    </w:p>
    <w:p>
      <w:pPr>
        <w:pStyle w:val="ListParagraph"/>
        <w:numPr>
          <w:ilvl w:val="0"/>
          <w:numId w:val="1"/>
        </w:numPr>
        <w:spacing w:after="60"/>
      </w:pPr>
      <w:r>
        <w:rPr>
          <w:sz w:val="22"/>
          <w:szCs w:val="22"/>
        </w:rPr>
        <w:t xml:space="preserve">Tested service-continuity plan covering fire and non-fire emergencies for critical operations.</w:t>
      </w:r>
    </w:p>
    <w:p>
      <w:pPr>
        <w:pStyle w:val="Heading2"/>
        <w:spacing w:after="100" w:before="220"/>
      </w:pPr>
      <w:r>
        <w:t xml:space="preserve">ROM.6.e — Leadership ensures that it has a documented agreement for all outsourced services that include service parameters.</w:t>
      </w:r>
    </w:p>
    <w:p>
      <w:pPr>
        <w:pStyle w:val="ListParagraph"/>
        <w:numPr>
          <w:ilvl w:val="0"/>
          <w:numId w:val="1"/>
        </w:numPr>
        <w:spacing w:after="60"/>
      </w:pPr>
      <w:r>
        <w:rPr>
          <w:sz w:val="22"/>
          <w:szCs w:val="22"/>
        </w:rPr>
        <w:t xml:space="preserve">Signed agreement for each outsourced service naming service parameters (quality, numbers, reports, timelines) and dispute-resolution method.</w:t>
      </w:r>
    </w:p>
    <w:p>
      <w:pPr>
        <w:pStyle w:val="ListParagraph"/>
        <w:numPr>
          <w:ilvl w:val="0"/>
          <w:numId w:val="1"/>
        </w:numPr>
        <w:spacing w:after="60"/>
      </w:pPr>
      <w:r>
        <w:rPr>
          <w:sz w:val="22"/>
          <w:szCs w:val="22"/>
        </w:rPr>
        <w:t xml:space="preserve">Current list of outsourced services.</w:t>
      </w:r>
    </w:p>
    <w:p>
      <w:pPr>
        <w:pStyle w:val="ListParagraph"/>
        <w:numPr>
          <w:ilvl w:val="0"/>
          <w:numId w:val="1"/>
        </w:numPr>
        <w:spacing w:after="60"/>
      </w:pPr>
      <w:r>
        <w:rPr>
          <w:sz w:val="22"/>
          <w:szCs w:val="22"/>
        </w:rPr>
        <w:t xml:space="preserve">Evidence any affiliate or group-firm arrangement also has an agreement on file.</w:t>
      </w:r>
    </w:p>
    <w:p>
      <w:pPr>
        <w:pStyle w:val="Heading2"/>
        <w:spacing w:after="100" w:before="220"/>
      </w:pPr>
      <w:r>
        <w:t xml:space="preserve">ROM.6.f — Leadership monitors the quality of the outsourced services and improvements are made as required.</w:t>
      </w:r>
    </w:p>
    <w:p>
      <w:pPr>
        <w:pStyle w:val="ListParagraph"/>
        <w:numPr>
          <w:ilvl w:val="0"/>
          <w:numId w:val="1"/>
        </w:numPr>
        <w:spacing w:after="60"/>
      </w:pPr>
      <w:r>
        <w:rPr>
          <w:sz w:val="22"/>
          <w:szCs w:val="22"/>
        </w:rPr>
        <w:t xml:space="preserve">Periodic quality-monitoring review per outsourced service, at a frequency matched to how critical that service is.</w:t>
      </w:r>
    </w:p>
    <w:p>
      <w:pPr>
        <w:pStyle w:val="ListParagraph"/>
        <w:numPr>
          <w:ilvl w:val="0"/>
          <w:numId w:val="1"/>
        </w:numPr>
        <w:spacing w:after="60"/>
      </w:pPr>
      <w:r>
        <w:rPr>
          <w:sz w:val="22"/>
          <w:szCs w:val="22"/>
        </w:rPr>
        <w:t xml:space="preserve">Vendor improvement-action record where a gap was found.</w:t>
      </w:r>
    </w:p>
    <w:p>
      <w:pPr>
        <w:pStyle w:val="ListParagraph"/>
        <w:numPr>
          <w:ilvl w:val="0"/>
          <w:numId w:val="1"/>
        </w:numPr>
        <w:spacing w:after="60"/>
      </w:pPr>
      <w:r>
        <w:rPr>
          <w:sz w:val="22"/>
          <w:szCs w:val="22"/>
        </w:rPr>
        <w:t xml:space="preserve">Documented exemption record for any service outsourced solely under prescribed statutory norms (where the Guidebook does not require monitoring).</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«HCO/ROM/POL/06»  |  Controlled document  |  Patient Safety, Risk Management and Outsourced Services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2026-08-21T14:59:10.984Z</dcterms:created>
  <dcterms:modified xsi:type="dcterms:W3CDTF">2026-08-21T14:59:10.986Z</dcterms:modified>
</cp:coreProperties>
</file>

<file path=docProps/custom.xml><?xml version="1.0" encoding="utf-8"?>
<Properties xmlns="http://schemas.openxmlformats.org/officeDocument/2006/custom-properties" xmlns:vt="http://schemas.openxmlformats.org/officeDocument/2006/docPropsVTypes"/>
</file>