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Established Discharge Process</w:t>
      </w:r>
    </w:p>
    <w:p>
      <w:pPr>
        <w:spacing w:after="240"/>
        <w:jc w:val="center"/>
      </w:pPr>
      <w:r>
        <w:rPr>
          <w:i/>
          <w:iCs/>
          <w:sz w:val="20"/>
          <w:szCs w:val="20"/>
        </w:rPr>
        <w:t xml:space="preserve">Planned, coordinated discharge process including LAMA and time monitoring.</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an established discharge process — planned with the patient and family, coordinated across departments, and monitored from fit-for-discharge to bed vacated.</w:t>
      </w:r>
    </w:p>
    <w:p>
      <w:pPr>
        <w:pStyle w:val="Heading1"/>
        <w:spacing w:after="120" w:before="280"/>
      </w:pPr>
      <w:r>
        <w:t xml:space="preserve">1. Purpose</w:t>
      </w:r>
    </w:p>
    <w:p>
      <w:pPr>
        <w:spacing w:after="140"/>
      </w:pPr>
      <w:r>
        <w:rPr>
          <w:sz w:val="22"/>
          <w:szCs w:val="22"/>
        </w:rPr>
        <w:t xml:space="preserve">This policy says how Preview Hospital runs an established discharge process.</w:t>
      </w:r>
    </w:p>
    <w:p>
      <w:pPr>
        <w:spacing w:after="140"/>
      </w:pPr>
      <w:r>
        <w:rPr>
          <w:sz w:val="22"/>
          <w:szCs w:val="22"/>
        </w:rPr>
        <w:t xml:space="preserve">It covers seven jobs that match the standard:</w:t>
      </w:r>
    </w:p>
    <w:p>
      <w:pPr>
        <w:pStyle w:val="ListParagraph"/>
        <w:numPr>
          <w:ilvl w:val="0"/>
          <w:numId w:val="1"/>
        </w:numPr>
        <w:spacing w:after="60"/>
      </w:pPr>
      <w:r>
        <w:rPr>
          <w:sz w:val="22"/>
          <w:szCs w:val="22"/>
        </w:rPr>
        <w:t xml:space="preserve">plan discharge in consultation with the patient and/or family;</w:t>
      </w:r>
    </w:p>
    <w:p>
      <w:pPr>
        <w:pStyle w:val="ListParagraph"/>
        <w:numPr>
          <w:ilvl w:val="0"/>
          <w:numId w:val="1"/>
        </w:numPr>
        <w:spacing w:after="60"/>
      </w:pPr>
      <w:r>
        <w:rPr>
          <w:sz w:val="22"/>
          <w:szCs w:val="22"/>
        </w:rPr>
        <w:t xml:space="preserve">coordinate discharge among departments and agencies involved, including medico-legal and absconded cases;</w:t>
      </w:r>
    </w:p>
    <w:p>
      <w:pPr>
        <w:pStyle w:val="ListParagraph"/>
        <w:numPr>
          <w:ilvl w:val="0"/>
          <w:numId w:val="1"/>
        </w:numPr>
        <w:spacing w:after="60"/>
      </w:pPr>
      <w:r>
        <w:rPr>
          <w:sz w:val="22"/>
          <w:szCs w:val="22"/>
        </w:rPr>
        <w:t xml:space="preserve">written guidance for patients leaving against medical advice (LAMA);</w:t>
      </w:r>
    </w:p>
    <w:p>
      <w:pPr>
        <w:pStyle w:val="ListParagraph"/>
        <w:numPr>
          <w:ilvl w:val="0"/>
          <w:numId w:val="1"/>
        </w:numPr>
        <w:spacing w:after="60"/>
      </w:pPr>
      <w:r>
        <w:rPr>
          <w:sz w:val="22"/>
          <w:szCs w:val="22"/>
        </w:rPr>
        <w:t xml:space="preserve">give a discharge summary to all patients leaving, including LAMA, and a death summary to next of kin;</w:t>
      </w:r>
    </w:p>
    <w:p>
      <w:pPr>
        <w:pStyle w:val="ListParagraph"/>
        <w:numPr>
          <w:ilvl w:val="0"/>
          <w:numId w:val="1"/>
        </w:numPr>
        <w:spacing w:after="60"/>
      </w:pPr>
      <w:r>
        <w:rPr>
          <w:sz w:val="22"/>
          <w:szCs w:val="22"/>
        </w:rPr>
        <w:t xml:space="preserve">adhere to planned discharge (at least 24 hours' advance planning; minimise unplanned discharges);</w:t>
      </w:r>
    </w:p>
    <w:p>
      <w:pPr>
        <w:pStyle w:val="ListParagraph"/>
        <w:numPr>
          <w:ilvl w:val="0"/>
          <w:numId w:val="1"/>
        </w:numPr>
        <w:spacing w:after="60"/>
      </w:pPr>
      <w:r>
        <w:rPr>
          <w:sz w:val="22"/>
          <w:szCs w:val="22"/>
        </w:rPr>
        <w:t xml:space="preserve">expand access through domiciliary visits wherever applicable;</w:t>
      </w:r>
    </w:p>
    <w:p>
      <w:pPr>
        <w:pStyle w:val="ListParagraph"/>
        <w:numPr>
          <w:ilvl w:val="0"/>
          <w:numId w:val="1"/>
        </w:numPr>
        <w:spacing w:after="60"/>
      </w:pPr>
      <w:r>
        <w:rPr>
          <w:sz w:val="22"/>
          <w:szCs w:val="22"/>
        </w:rPr>
        <w:t xml:space="preserve">monitor discharge time, set benchmarks and make continual improvement.</w:t>
      </w:r>
    </w:p>
    <w:p>
      <w:pPr>
        <w:spacing w:after="140"/>
      </w:pPr>
      <w:r>
        <w:rPr>
          <w:sz w:val="22"/>
          <w:szCs w:val="22"/>
        </w:rPr>
        <w:t xml:space="preserve">The chapter intent is that transfer and discharge protocols are well defined and that continuity of care may extend to the community through home health care services where applicable.</w:t>
      </w:r>
    </w:p>
    <w:p>
      <w:pPr>
        <w:spacing w:after="140"/>
      </w:pPr>
      <w:r>
        <w:rPr>
          <w:sz w:val="22"/>
          <w:szCs w:val="22"/>
        </w:rPr>
        <w:t xml:space="preserve">This policy owns the discharge process. AAC.13 owns the content of the discharge summary. Cross-reference AAC.13 for what the summary must contain; do not duplicate that content list here. AAC.4.g is cross-referenced for planned-discharge education elements. AAC.3 owns transfer-out to another facility (not discharge home).</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patient leaving Preview Hospital's care by planned discharge, LAMA, absconding recovery workflows, or death (death summary to next of kin), and to the staff who run that process.</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who determine readiness and plan discharge with the patient and family;</w:t>
      </w:r>
    </w:p>
    <w:p>
      <w:pPr>
        <w:pStyle w:val="ListParagraph"/>
        <w:numPr>
          <w:ilvl w:val="0"/>
          <w:numId w:val="1"/>
        </w:numPr>
        <w:spacing w:after="60"/>
      </w:pPr>
      <w:r>
        <w:rPr>
          <w:sz w:val="22"/>
          <w:szCs w:val="22"/>
        </w:rPr>
        <w:t xml:space="preserve">nurses who prepare the patient for leaving and support education;</w:t>
      </w:r>
    </w:p>
    <w:p>
      <w:pPr>
        <w:pStyle w:val="ListParagraph"/>
        <w:numPr>
          <w:ilvl w:val="0"/>
          <w:numId w:val="1"/>
        </w:numPr>
        <w:spacing w:after="60"/>
      </w:pPr>
      <w:r>
        <w:rPr>
          <w:sz w:val="22"/>
          <w:szCs w:val="22"/>
        </w:rPr>
        <w:t xml:space="preserve">registration / front-office and accounts who complete papers within time;</w:t>
      </w:r>
    </w:p>
    <w:p>
      <w:pPr>
        <w:pStyle w:val="ListParagraph"/>
        <w:numPr>
          <w:ilvl w:val="0"/>
          <w:numId w:val="1"/>
        </w:numPr>
        <w:spacing w:after="60"/>
      </w:pPr>
      <w:r>
        <w:rPr>
          <w:sz w:val="22"/>
          <w:szCs w:val="22"/>
        </w:rPr>
        <w:t xml:space="preserve">the «discharge coordinator» where this hospital uses that role;</w:t>
      </w:r>
    </w:p>
    <w:p>
      <w:pPr>
        <w:pStyle w:val="ListParagraph"/>
        <w:numPr>
          <w:ilvl w:val="0"/>
          <w:numId w:val="1"/>
        </w:numPr>
        <w:spacing w:after="60"/>
      </w:pPr>
      <w:r>
        <w:rPr>
          <w:sz w:val="22"/>
          <w:szCs w:val="22"/>
        </w:rPr>
        <w:t xml:space="preserve">the «Medical Superintendent» who is accountable for coordination including MLC and police intimation;</w:t>
      </w:r>
    </w:p>
    <w:p>
      <w:pPr>
        <w:pStyle w:val="ListParagraph"/>
        <w:numPr>
          <w:ilvl w:val="0"/>
          <w:numId w:val="1"/>
        </w:numPr>
        <w:spacing w:after="60"/>
      </w:pPr>
      <w:r>
        <w:rPr>
          <w:sz w:val="22"/>
          <w:szCs w:val="22"/>
        </w:rPr>
        <w:t xml:space="preserve">the «Quality Coordinator» who audits discharge time and process.</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AAC.13 owns discharge-summary content (identification, clinical fields, follow-up wording, urgent care, cause of death). This policy owns that a summary is given and that the process runs; it does not redefine summary fields.</w:t>
      </w:r>
    </w:p>
    <w:p>
      <w:pPr>
        <w:pStyle w:val="ListParagraph"/>
        <w:numPr>
          <w:ilvl w:val="0"/>
          <w:numId w:val="1"/>
        </w:numPr>
        <w:spacing w:after="60"/>
      </w:pPr>
      <w:r>
        <w:rPr>
          <w:sz w:val="22"/>
          <w:szCs w:val="22"/>
        </w:rPr>
        <w:t xml:space="preserve">AAC.3 owns transfer-out / referral to another facility. This policy owns discharge from the organisation's care.</w:t>
      </w:r>
    </w:p>
    <w:p>
      <w:pPr>
        <w:pStyle w:val="ListParagraph"/>
        <w:numPr>
          <w:ilvl w:val="0"/>
          <w:numId w:val="1"/>
        </w:numPr>
        <w:spacing w:after="60"/>
      </w:pPr>
      <w:r>
        <w:rPr>
          <w:sz w:val="22"/>
          <w:szCs w:val="22"/>
        </w:rPr>
        <w:t xml:space="preserve">AAC.4.g owns elements of patient education for continued care that planned discharge prepares; this policy owns the 24-hour planning and minimising unplanned discharges.</w:t>
      </w:r>
    </w:p>
    <w:p>
      <w:pPr>
        <w:pStyle w:val="ListParagraph"/>
        <w:numPr>
          <w:ilvl w:val="0"/>
          <w:numId w:val="1"/>
        </w:numPr>
        <w:spacing w:after="60"/>
      </w:pPr>
      <w:r>
        <w:rPr>
          <w:sz w:val="22"/>
          <w:szCs w:val="22"/>
        </w:rPr>
        <w:t xml:space="preserve">PRE owns rights and consent method for refusal / LAMA declaration. This policy owns LAMA written guidance for the discharge act and that a summary is still given.</w:t>
      </w:r>
    </w:p>
    <w:p>
      <w:pPr>
        <w:pStyle w:val="ListParagraph"/>
        <w:numPr>
          <w:ilvl w:val="0"/>
          <w:numId w:val="1"/>
        </w:numPr>
        <w:spacing w:after="60"/>
      </w:pPr>
      <w:r>
        <w:rPr>
          <w:sz w:val="22"/>
          <w:szCs w:val="22"/>
        </w:rPr>
        <w:t xml:space="preserve">Billing / PRE cost explanation owns tariff conversation. This policy owns coordination with accounts so papers complete in time.</w:t>
      </w:r>
    </w:p>
    <w:p>
      <w:pPr>
        <w:pStyle w:val="Heading1"/>
        <w:spacing w:after="120" w:before="280"/>
      </w:pPr>
      <w:r>
        <w:t xml:space="preserve">3. Policy standards</w:t>
      </w:r>
    </w:p>
    <w:p>
      <w:pPr>
        <w:spacing w:after="140"/>
      </w:pPr>
      <w:r>
        <w:rPr>
          <w:sz w:val="22"/>
          <w:szCs w:val="22"/>
        </w:rPr>
        <w:t xml:space="preserve">Preview Hospital plans the patient's discharge in consultation with the patient and/or family. Discharge is coordinated among the departments and agencies involved, including medico-legal and absconded cases. Written guidance governs LAMA. A discharge summary is given to all patients leaving, including LAMA; in case of death, a death summary is given to the next of kin.</w:t>
      </w:r>
    </w:p>
    <w:p>
      <w:pPr>
        <w:spacing w:after="140"/>
      </w:pPr>
      <w:r>
        <w:rPr>
          <w:sz w:val="22"/>
          <w:szCs w:val="22"/>
        </w:rPr>
        <w:t xml:space="preserve">Preview Hospital adheres to planned discharge, expands access through domiciliary visits wherever applicable, monitors discharge time against benchmarks and improves continually.</w:t>
      </w:r>
    </w:p>
    <w:p>
      <w:pPr>
        <w:spacing w:after="140"/>
      </w:pPr>
      <w:r>
        <w:rPr>
          <w:sz w:val="22"/>
          <w:szCs w:val="22"/>
        </w:rPr>
        <w:t xml:space="preserve">Preview Hospital does not discharge without consultation and coordination, and does not treat AAC.13 summary content as a substitute for this process.</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Declaring a patient ready for discharge without consulting the patient and/or family.</w:t>
      </w:r>
    </w:p>
    <w:p>
      <w:pPr>
        <w:spacing w:after="80"/>
      </w:pPr>
      <w:r>
        <w:rPr>
          <w:sz w:val="22"/>
          <w:szCs w:val="22"/>
        </w:rPr>
        <w:t xml:space="preserve">2. Completing discharge without coordinating the departments and agencies involved — including accounts, and police intimation for medico-legal cases.</w:t>
      </w:r>
    </w:p>
    <w:p>
      <w:pPr>
        <w:spacing w:after="80"/>
      </w:pPr>
      <w:r>
        <w:rPr>
          <w:sz w:val="22"/>
          <w:szCs w:val="22"/>
        </w:rPr>
        <w:t xml:space="preserve">3. Allowing LAMA without following written guidance and without recording the patient/attendant declaration.</w:t>
      </w:r>
    </w:p>
    <w:p>
      <w:pPr>
        <w:spacing w:after="80"/>
      </w:pPr>
      <w:r>
        <w:rPr>
          <w:sz w:val="22"/>
          <w:szCs w:val="22"/>
        </w:rPr>
        <w:t xml:space="preserve">4. Letting a patient leave (including LAMA) without a discharge summary, or failing to give a death summary to next of kin.</w:t>
      </w:r>
    </w:p>
    <w:p>
      <w:pPr>
        <w:spacing w:after="80"/>
      </w:pPr>
      <w:r>
        <w:rPr>
          <w:sz w:val="22"/>
          <w:szCs w:val="22"/>
        </w:rPr>
        <w:t xml:space="preserve">5. Treating same-day surprise discharge as planned when the standard requires planning at least 24 hours in advance, without documenting why unplanned discharge could not be avoided.</w:t>
      </w:r>
    </w:p>
    <w:p>
      <w:pPr>
        <w:spacing w:after="80"/>
      </w:pPr>
      <w:r>
        <w:rPr>
          <w:sz w:val="22"/>
          <w:szCs w:val="22"/>
        </w:rPr>
        <w:t xml:space="preserve">6. Ignoring domiciliary visit arrangements where this hospital's scope makes them applicable and they were part of the discharge plan.</w:t>
      </w:r>
    </w:p>
    <w:p>
      <w:pPr>
        <w:spacing w:after="80"/>
      </w:pPr>
      <w:r>
        <w:rPr>
          <w:sz w:val="22"/>
          <w:szCs w:val="22"/>
        </w:rPr>
        <w:t xml:space="preserve">7. Failing to measure discharge time from fit-for-discharge to bed vacated, or ignoring repeated delay without improvement action.</w:t>
      </w:r>
    </w:p>
    <w:p>
      <w:pPr>
        <w:spacing w:after="140"/>
      </w:pPr>
      <w:r>
        <w:rPr>
          <w:sz w:val="22"/>
          <w:szCs w:val="22"/>
        </w:rPr>
        <w:t xml:space="preserve">Staff who see one of these acts report it the same shift to the «treating doctor», the «discharge coordinator» if used, or the «Medical Superintendent».</w:t>
      </w:r>
    </w:p>
    <w:p>
      <w:pPr>
        <w:pStyle w:val="Heading1"/>
        <w:spacing w:after="120" w:before="280"/>
      </w:pPr>
      <w:r>
        <w:t xml:space="preserve">5. What we do</w:t>
      </w:r>
    </w:p>
    <w:p>
      <w:pPr>
        <w:pStyle w:val="Heading2"/>
        <w:spacing w:after="100" w:before="220"/>
      </w:pPr>
      <w:r>
        <w:t xml:space="preserve">5.1 Discharge planned with patient and family</w:t>
      </w:r>
    </w:p>
    <w:p>
      <w:pPr>
        <w:spacing w:after="140"/>
      </w:pPr>
      <w:r>
        <w:rPr>
          <w:sz w:val="22"/>
          <w:szCs w:val="22"/>
        </w:rPr>
        <w:t xml:space="preserve">The patient's discharge process is planned in consultation with the patient and/or family at Preview Hospital.</w:t>
      </w:r>
    </w:p>
    <w:p>
      <w:pPr>
        <w:spacing w:after="140"/>
      </w:pPr>
      <w:r>
        <w:rPr>
          <w:sz w:val="22"/>
          <w:szCs w:val="22"/>
        </w:rPr>
        <w:t xml:space="preserve">The treating doctor determines readiness for discharge during regular reassessments and discusses the plan with the patient and family. The discussion covers expected timing, continued care needs and who will receive the discharge summary. Agreement or concerns are recorded in the patient file.</w:t>
      </w:r>
    </w:p>
    <w:p>
      <w:pPr>
        <w:pStyle w:val="Heading2"/>
        <w:spacing w:after="100" w:before="220"/>
      </w:pPr>
      <w:r>
        <w:t xml:space="preserve">5.2 Coordinated discharge including MLC and absconded cases</w:t>
      </w:r>
    </w:p>
    <w:p>
      <w:pPr>
        <w:spacing w:after="140"/>
      </w:pPr>
      <w:r>
        <w:rPr>
          <w:sz w:val="22"/>
          <w:szCs w:val="22"/>
        </w:rPr>
        <w:t xml:space="preserve">The discharge process is coordinated among various departments and agencies involved at Preview Hospital, including medico-legal and absconded cases.</w:t>
      </w:r>
    </w:p>
    <w:p>
      <w:pPr>
        <w:spacing w:after="140"/>
      </w:pPr>
      <w:r>
        <w:rPr>
          <w:sz w:val="22"/>
          <w:szCs w:val="22"/>
        </w:rPr>
        <w:t xml:space="preserve">Discharge procedures are documented so that departments — including accounts — complete discharge papers within time. For medico-legal cases (MLC), the organisation ensures that the police are informed about the discharge. Absconded-patient workflows follow the same coordination discipline when the patient is found or when the case is closed under this hospital's written process. The «discharge coordinator or ward nurse in charge» tracks open tasks until the patient vacates the bed or the case is otherwise closed.</w:t>
      </w:r>
    </w:p>
    <w:p>
      <w:pPr>
        <w:pStyle w:val="Heading2"/>
        <w:spacing w:after="100" w:before="220"/>
      </w:pPr>
      <w:r>
        <w:t xml:space="preserve">5.3 Written guidance for leaving against medical advice</w:t>
      </w:r>
    </w:p>
    <w:p>
      <w:pPr>
        <w:spacing w:after="140"/>
      </w:pPr>
      <w:r>
        <w:rPr>
          <w:sz w:val="22"/>
          <w:szCs w:val="22"/>
        </w:rPr>
        <w:t xml:space="preserve">Written guidance governs the discharge of patients leaving against medical advice at Preview Hospital.</w:t>
      </w:r>
    </w:p>
    <w:p>
      <w:pPr>
        <w:spacing w:after="140"/>
      </w:pPr>
      <w:r>
        <w:rPr>
          <w:sz w:val="22"/>
          <w:szCs w:val="22"/>
        </w:rPr>
        <w:t xml:space="preserve">The treating doctor explains the consequences of leaving to the patient or attendant. The written guidance addresses reasons for LAMA so the organisation can take corrective and/or preventive action where patterns appear. The patient/attendant declaration is recorded in a proper format. LAMA does not cancel the duty to hand over a discharge summary and reports (see section 5.4). The «Medical Superintendent» holds the current LAMA written guidance.</w:t>
      </w:r>
    </w:p>
    <w:p>
      <w:pPr>
        <w:pStyle w:val="Heading2"/>
        <w:spacing w:after="100" w:before="220"/>
      </w:pPr>
      <w:r>
        <w:t xml:space="preserve">5.4 Discharge summary given to all leaving patients</w:t>
      </w:r>
    </w:p>
    <w:p>
      <w:pPr>
        <w:spacing w:after="140"/>
      </w:pPr>
      <w:r>
        <w:rPr>
          <w:sz w:val="22"/>
          <w:szCs w:val="22"/>
        </w:rPr>
        <w:t xml:space="preserve">A discharge summary is given to all patients leaving Preview Hospital, including patients leaving against medical advice. In case of death, a death summary is given to the next of kin or relatives.</w:t>
      </w:r>
    </w:p>
    <w:p>
      <w:pPr>
        <w:spacing w:after="140"/>
      </w:pPr>
      <w:r>
        <w:rPr>
          <w:sz w:val="22"/>
          <w:szCs w:val="22"/>
        </w:rPr>
        <w:t xml:space="preserve">The organisation hands over the discharge summary and reports to the patient or attendant in all cases, and retains a copy in the medical record. For LAMA, the patient's right to refuse treatment and request to leave is respected; the declaration is recorded; the summary and reports are still handed over. Terminology for such patients may differ; the intent of issuing the summary with reports remains the same.</w:t>
      </w:r>
    </w:p>
    <w:p>
      <w:pPr>
        <w:spacing w:after="140"/>
      </w:pPr>
      <w:r>
        <w:rPr>
          <w:sz w:val="22"/>
          <w:szCs w:val="22"/>
        </w:rPr>
        <w:t xml:space="preserve">What the summary must contain is owned by AAC.13. This step owns that the summary is issued as part of the discharge process.</w:t>
      </w:r>
    </w:p>
    <w:p>
      <w:pPr>
        <w:pStyle w:val="Heading2"/>
        <w:spacing w:after="100" w:before="220"/>
      </w:pPr>
      <w:r>
        <w:t xml:space="preserve">5.5 Adherence to planned discharge</w:t>
      </w:r>
    </w:p>
    <w:p>
      <w:pPr>
        <w:spacing w:after="140"/>
      </w:pPr>
      <w:r>
        <w:rPr>
          <w:sz w:val="22"/>
          <w:szCs w:val="22"/>
        </w:rPr>
        <w:t xml:space="preserve">Preview Hospital adheres to planned discharge. Discharge is planned at least 24 hours in advance. Planning includes preparation of the draft discharge summary, refund of medications where applicable, patient education on continued care, and identified special needs — for example requirement of special equipment, devices, transportation (wheelchair), and safe and effective use of medical equipment. Unplanned discharges are minimised.</w:t>
      </w:r>
    </w:p>
    <w:p>
      <w:pPr>
        <w:spacing w:after="140"/>
      </w:pPr>
      <w:r>
        <w:rPr>
          <w:sz w:val="22"/>
          <w:szCs w:val="22"/>
        </w:rPr>
        <w:t xml:space="preserve">Cross-reference AAC.4.g for related continued-care education elements. Cross-reference AAC.13 for summary content and understandable instructions.</w:t>
      </w:r>
    </w:p>
    <w:p>
      <w:pPr>
        <w:pStyle w:val="Heading2"/>
        <w:spacing w:after="100" w:before="220"/>
      </w:pPr>
      <w:r>
        <w:t xml:space="preserve">5.6 Domiciliary visits wherever applicable</w:t>
      </w:r>
    </w:p>
    <w:p>
      <w:pPr>
        <w:spacing w:after="140"/>
      </w:pPr>
      <w:r>
        <w:rPr>
          <w:sz w:val="22"/>
          <w:szCs w:val="22"/>
        </w:rPr>
        <w:t xml:space="preserve">Wherever applicable, care is provided by expanding access through domiciliary visits.</w:t>
      </w:r>
    </w:p>
    <w:p>
      <w:pPr>
        <w:spacing w:after="140"/>
      </w:pPr>
      <w:r>
        <w:rPr>
          <w:sz w:val="22"/>
          <w:szCs w:val="22"/>
        </w:rPr>
        <w:t xml:space="preserve">Trained healthcare workers visit patients at their residences to deliver medical care, treatment and/or support when this hospital's scope includes that service. Domiciliary visits may address chronic conditions, fall prevention, memory care, nutrition, exercise and other health concerns. For palliative care patients, home visits for change of catheters and/or other support care may be conducted. Visits are scheduled at discharge planning when applicable and recorded.</w:t>
      </w:r>
    </w:p>
    <w:p>
      <w:pPr>
        <w:pStyle w:val="Heading2"/>
        <w:spacing w:after="100" w:before="220"/>
      </w:pPr>
      <w:r>
        <w:t xml:space="preserve">5.7 Monitoring discharge time and continual improvement</w:t>
      </w:r>
    </w:p>
    <w:p>
      <w:pPr>
        <w:spacing w:after="140"/>
      </w:pPr>
      <w:r>
        <w:rPr>
          <w:sz w:val="22"/>
          <w:szCs w:val="22"/>
        </w:rPr>
        <w:t xml:space="preserve">Preview Hospital monitors the discharge time, sets appropriate benchmarks and makes continual improvement.</w:t>
      </w:r>
    </w:p>
    <w:p>
      <w:pPr>
        <w:spacing w:after="140"/>
      </w:pPr>
      <w:r>
        <w:rPr>
          <w:sz w:val="22"/>
          <w:szCs w:val="22"/>
        </w:rPr>
        <w:t xml:space="preserve">The organisation defines the time taken for discharge. The timeframe may differ by payer mix — for example cash, insurance, corporate. The organisation conforms to the defined timeframe. Delays are monitored; reasons are identified; improvement activities are performed.</w:t>
      </w:r>
    </w:p>
    <w:p>
      <w:pPr>
        <w:spacing w:after="140"/>
      </w:pPr>
      <w:r>
        <w:rPr>
          <w:sz w:val="22"/>
          <w:szCs w:val="22"/>
        </w:rPr>
        <w:t xml:space="preserve">The start-point for calculating discharge time is when the treating doctor declares the patient fit for discharge. The end-point is when the patient vacates the bed. The «Quality Coordinator» reviews delay themes «monthly» and reports to the Medical Superintendent.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the discharge process, MLC police intimation and LAMA written guidance.</w:t>
      </w:r>
    </w:p>
    <w:p>
      <w:pPr>
        <w:pStyle w:val="ListParagraph"/>
        <w:numPr>
          <w:ilvl w:val="0"/>
          <w:numId w:val="1"/>
        </w:numPr>
        <w:spacing w:after="60"/>
      </w:pPr>
      <w:r>
        <w:rPr>
          <w:sz w:val="22"/>
          <w:szCs w:val="22"/>
        </w:rPr>
        <w:t xml:space="preserve">Reviews discharge-time improvement actions.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Determine readiness; consult patient/family; explain LAMA consequences; declare fit for discharge; ensure summary is issued (content per AAC.13).</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Support preparation, education and hand-over of reports; record LAMA declaration support; confirm bed vacated time.</w:t>
      </w:r>
    </w:p>
    <w:p>
      <w:pPr>
        <w:pStyle w:val="ListParagraph"/>
        <w:numPr>
          <w:ilvl w:val="0"/>
          <w:numId w:val="1"/>
        </w:numPr>
        <w:spacing w:after="60"/>
      </w:pPr>
      <w:r>
        <w:rPr>
          <w:sz w:val="22"/>
          <w:szCs w:val="22"/>
        </w:rPr>
        <w:t xml:space="preserve">Discharge coordinator (if used)</w:t>
      </w:r>
    </w:p>
    <w:p>
      <w:pPr>
        <w:pStyle w:val="ListParagraph"/>
        <w:numPr>
          <w:ilvl w:val="0"/>
          <w:numId w:val="1"/>
        </w:numPr>
        <w:spacing w:after="60"/>
      </w:pPr>
      <w:r>
        <w:rPr>
          <w:sz w:val="22"/>
          <w:szCs w:val="22"/>
        </w:rPr>
        <w:t xml:space="preserve">Tracks department tasks (ward, accounts, pharmacy, MLC paperwork) until papers complete and bed vacated.</w:t>
      </w:r>
    </w:p>
    <w:p>
      <w:pPr>
        <w:pStyle w:val="ListParagraph"/>
        <w:numPr>
          <w:ilvl w:val="0"/>
          <w:numId w:val="1"/>
        </w:numPr>
        <w:spacing w:after="60"/>
      </w:pPr>
      <w:r>
        <w:rPr>
          <w:sz w:val="22"/>
          <w:szCs w:val="22"/>
        </w:rPr>
        <w:t xml:space="preserve">Registration / front-office and accounts</w:t>
      </w:r>
    </w:p>
    <w:p>
      <w:pPr>
        <w:pStyle w:val="ListParagraph"/>
        <w:numPr>
          <w:ilvl w:val="0"/>
          <w:numId w:val="1"/>
        </w:numPr>
        <w:spacing w:after="60"/>
      </w:pPr>
      <w:r>
        <w:rPr>
          <w:sz w:val="22"/>
          <w:szCs w:val="22"/>
        </w:rPr>
        <w:t xml:space="preserve">Complete discharge papers within the defined timeframe; support payer-mix timing benchmarks.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and monitors discharge-time data (see monitoring section).</w:t>
      </w:r>
    </w:p>
    <w:p>
      <w:pPr>
        <w:pStyle w:val="ListParagraph"/>
        <w:numPr>
          <w:ilvl w:val="0"/>
          <w:numId w:val="1"/>
        </w:numPr>
        <w:spacing w:after="60"/>
      </w:pPr>
      <w:r>
        <w:rPr>
          <w:sz w:val="22"/>
          <w:szCs w:val="22"/>
        </w:rPr>
        <w:t xml:space="preserve">Tracks CAPA when discharge-process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 and reviews discharge-time data «monthly».</w:t>
      </w:r>
    </w:p>
    <w:p>
      <w:pPr>
        <w:spacing w:after="140"/>
      </w:pPr>
      <w:r>
        <w:rPr>
          <w:sz w:val="22"/>
          <w:szCs w:val="22"/>
        </w:rPr>
        <w:t xml:space="preserve">What is monitored:</w:t>
      </w:r>
    </w:p>
    <w:p>
      <w:pPr>
        <w:pStyle w:val="ListParagraph"/>
        <w:numPr>
          <w:ilvl w:val="0"/>
          <w:numId w:val="1"/>
        </w:numPr>
        <w:spacing w:after="60"/>
      </w:pPr>
      <w:r>
        <w:rPr>
          <w:sz w:val="22"/>
          <w:szCs w:val="22"/>
        </w:rPr>
        <w:t xml:space="preserve">Evidence of patient/family consultation before discharge.</w:t>
      </w:r>
    </w:p>
    <w:p>
      <w:pPr>
        <w:pStyle w:val="ListParagraph"/>
        <w:numPr>
          <w:ilvl w:val="0"/>
          <w:numId w:val="1"/>
        </w:numPr>
        <w:spacing w:after="60"/>
      </w:pPr>
      <w:r>
        <w:rPr>
          <w:sz w:val="22"/>
          <w:szCs w:val="22"/>
        </w:rPr>
        <w:t xml:space="preserve">Coordination completeness including accounts and MLC police intimation where applicable.</w:t>
      </w:r>
    </w:p>
    <w:p>
      <w:pPr>
        <w:pStyle w:val="ListParagraph"/>
        <w:numPr>
          <w:ilvl w:val="0"/>
          <w:numId w:val="1"/>
        </w:numPr>
        <w:spacing w:after="60"/>
      </w:pPr>
      <w:r>
        <w:rPr>
          <w:sz w:val="22"/>
          <w:szCs w:val="22"/>
        </w:rPr>
        <w:t xml:space="preserve">LAMA cases following written guidance with recorded declaration and summary issued.</w:t>
      </w:r>
    </w:p>
    <w:p>
      <w:pPr>
        <w:pStyle w:val="ListParagraph"/>
        <w:numPr>
          <w:ilvl w:val="0"/>
          <w:numId w:val="1"/>
        </w:numPr>
        <w:spacing w:after="60"/>
      </w:pPr>
      <w:r>
        <w:rPr>
          <w:sz w:val="22"/>
          <w:szCs w:val="22"/>
        </w:rPr>
        <w:t xml:space="preserve">Discharge or death summary handed over for all sampled leavers.</w:t>
      </w:r>
    </w:p>
    <w:p>
      <w:pPr>
        <w:pStyle w:val="ListParagraph"/>
        <w:numPr>
          <w:ilvl w:val="0"/>
          <w:numId w:val="1"/>
        </w:numPr>
        <w:spacing w:after="60"/>
      </w:pPr>
      <w:r>
        <w:rPr>
          <w:sz w:val="22"/>
          <w:szCs w:val="22"/>
        </w:rPr>
        <w:t xml:space="preserve">Proportion of discharges planned ≥24 hours in advance; reasons for unplanned discharges.</w:t>
      </w:r>
    </w:p>
    <w:p>
      <w:pPr>
        <w:pStyle w:val="ListParagraph"/>
        <w:numPr>
          <w:ilvl w:val="0"/>
          <w:numId w:val="1"/>
        </w:numPr>
        <w:spacing w:after="60"/>
      </w:pPr>
      <w:r>
        <w:rPr>
          <w:sz w:val="22"/>
          <w:szCs w:val="22"/>
        </w:rPr>
        <w:t xml:space="preserve">Domiciliary visits completed where applicable and planned.</w:t>
      </w:r>
    </w:p>
    <w:p>
      <w:pPr>
        <w:pStyle w:val="ListParagraph"/>
        <w:numPr>
          <w:ilvl w:val="0"/>
          <w:numId w:val="1"/>
        </w:numPr>
        <w:spacing w:after="60"/>
      </w:pPr>
      <w:r>
        <w:rPr>
          <w:sz w:val="22"/>
          <w:szCs w:val="22"/>
        </w:rPr>
        <w:t xml:space="preserve">Discharge time from fit-for-discharge to bed vacated against benchmarks by payer mix; delay reasons and CAPA.</w:t>
      </w:r>
    </w:p>
    <w:p>
      <w:pPr>
        <w:spacing w:after="140"/>
      </w:pPr>
      <w:r>
        <w:rPr>
          <w:sz w:val="22"/>
          <w:szCs w:val="22"/>
        </w:rPr>
        <w:t xml:space="preserve">Root-cause analysis is required when the same discharge-process defect or delay theme recurs within six months.</w:t>
      </w:r>
    </w:p>
    <w:p>
      <w:pPr>
        <w:spacing w:after="140"/>
      </w:pPr>
      <w:r>
        <w:rPr>
          <w:sz w:val="22"/>
          <w:szCs w:val="22"/>
        </w:rPr>
        <w:t xml:space="preserve">This policy is reviewed «annually», and sooner when bed management, payer mix or MLC workflows change.</w:t>
      </w:r>
    </w:p>
    <w:p>
      <w:pPr>
        <w:pStyle w:val="Heading1"/>
        <w:spacing w:after="120" w:before="280"/>
      </w:pPr>
      <w:r>
        <w:t xml:space="preserve">8. Training and staff acknowledgement</w:t>
      </w:r>
    </w:p>
    <w:p>
      <w:pPr>
        <w:spacing w:after="140"/>
      </w:pPr>
      <w:r>
        <w:rPr>
          <w:sz w:val="22"/>
          <w:szCs w:val="22"/>
        </w:rPr>
        <w:t xml:space="preserve">All treating doctors, nurses, registration/accounts staff and the discharge coordinator (if used) are trained on this policy at induction and «once a year» after that. Training covers consultation, coordination including MLC, LAMA guidance, issuing summaries, 24-hour planning, domiciliary visits where applicable and discharge-time measurement.</w:t>
      </w:r>
    </w:p>
    <w:p>
      <w:pPr>
        <w:spacing w:after="140"/>
      </w:pPr>
      <w:r>
        <w:rPr>
          <w:sz w:val="22"/>
          <w:szCs w:val="22"/>
        </w:rPr>
        <w:t xml:space="preserve">Staff acknowledgement</w:t>
      </w:r>
    </w:p>
    <w:p>
      <w:pPr>
        <w:spacing w:after="140"/>
      </w:pPr>
      <w:r>
        <w:rPr>
          <w:sz w:val="22"/>
          <w:szCs w:val="22"/>
        </w:rPr>
        <w:t xml:space="preserve">I have read this Established Discharge Process policy of Preview Hospital. I will plan discharge with the patient and family, coordinate departments, follow LAMA guidance and measure discharge time from fit-for-discharge to bed vacated.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AAC.12 (PDF indices ~90–92;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AAC.13 (discharge summary content); AAC.4.g (continued-care education elements).</w:t>
      </w:r>
    </w:p>
    <w:p>
      <w:pPr>
        <w:pStyle w:val="ListParagraph"/>
        <w:numPr>
          <w:ilvl w:val="0"/>
          <w:numId w:val="1"/>
        </w:numPr>
        <w:spacing w:after="60"/>
      </w:pPr>
      <w:r>
        <w:rPr>
          <w:sz w:val="22"/>
          <w:szCs w:val="22"/>
        </w:rPr>
        <w:t xml:space="preserve">Internal documents of Preview Hospital: discharge checklist; LAMA written guidance and declaration form; MLC police intimation log; discharge-time register; domiciliary visit records where applicable.</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in-patient ward; emergency; intensive care; accounts; registration/front-office; nursing administration; discharge coordinator if that role exists.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HCO — Hospital Accreditation Programme (NABH Full Accreditation)
LAMA — leaving against medical advice
MLC — medico-legal case
NABH — National Accreditation Board for Hospitals and Healthcare Providers
OE — objective element
PRE — Patient Rights and Education (NABH HCO chapter)</w:t>
      </w:r>
    </w:p>
    <w:p>
      <w:pPr>
        <w:pStyle w:val="Heading1"/>
        <w:spacing w:after="120" w:before="280"/>
      </w:pPr>
      <w:r>
        <w:t xml:space="preserve">12. Traceability to NABH HCO Full Accreditation 6th Edition AAC.12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patient's discharge process is planned in consultation with the patient and / or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Discharge planned with patient and family;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and consult); nurses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discharge process is coordinated among various departments and agencies involved (including medico-legal and absconded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Coordinated discharge including MLC and absconded cases;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Discharge coordinator if used; ward nurse in charge; accounts; Medical Superintendent (MLC/police)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discharge of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Written guidance for leaving against medical advice;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(holds guidance); treating doctors (explain and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given to all the patients leaving the organisation including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Discharge summary given to all leaving patients;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(issue); nurses/registration (hand-over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planned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Adherence to planned discharge;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shall be provided by expanding access to health practices through domiciliary visits, wherever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Domiciliary visits wherever applicable;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trained healthcare workers (visit);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monitors the discharge time, sets appropriate benchmarks and makes continual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Monitoring discharge time and continual improvement;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(monitor); Medical Superintendent (improvement); ward and accounts (timestamps)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AAC.12.a — The patient's discharge process is planned in consultation with the patient and / or family.</w:t>
      </w:r>
    </w:p>
    <w:p>
      <w:pPr>
        <w:pStyle w:val="ListParagraph"/>
        <w:numPr>
          <w:ilvl w:val="0"/>
          <w:numId w:val="1"/>
        </w:numPr>
        <w:spacing w:after="60"/>
      </w:pPr>
      <w:r>
        <w:rPr>
          <w:sz w:val="22"/>
          <w:szCs w:val="22"/>
        </w:rPr>
        <w:t xml:space="preserve">Reassessment note stating readiness for discharge.</w:t>
      </w:r>
    </w:p>
    <w:p>
      <w:pPr>
        <w:pStyle w:val="ListParagraph"/>
        <w:numPr>
          <w:ilvl w:val="0"/>
          <w:numId w:val="1"/>
        </w:numPr>
        <w:spacing w:after="60"/>
      </w:pPr>
      <w:r>
        <w:rPr>
          <w:sz w:val="22"/>
          <w:szCs w:val="22"/>
        </w:rPr>
        <w:t xml:space="preserve">Record of discussion with patient and/or family about the discharge plan.</w:t>
      </w:r>
    </w:p>
    <w:p>
      <w:pPr>
        <w:pStyle w:val="ListParagraph"/>
        <w:numPr>
          <w:ilvl w:val="0"/>
          <w:numId w:val="1"/>
        </w:numPr>
        <w:spacing w:after="60"/>
      </w:pPr>
      <w:r>
        <w:rPr>
          <w:sz w:val="22"/>
          <w:szCs w:val="22"/>
        </w:rPr>
        <w:t xml:space="preserve">Quarterly audit sample of consultation before discharge.</w:t>
      </w:r>
    </w:p>
    <w:p>
      <w:pPr>
        <w:pStyle w:val="Heading2"/>
        <w:spacing w:after="100" w:before="220"/>
      </w:pPr>
      <w:r>
        <w:t xml:space="preserve">AAC.12.b — The discharge process is coordinated among various departments and agencies involved (including medico-legal and absconded cases).</w:t>
      </w:r>
    </w:p>
    <w:p>
      <w:pPr>
        <w:pStyle w:val="ListParagraph"/>
        <w:numPr>
          <w:ilvl w:val="0"/>
          <w:numId w:val="1"/>
        </w:numPr>
        <w:spacing w:after="60"/>
      </w:pPr>
      <w:r>
        <w:rPr>
          <w:sz w:val="22"/>
          <w:szCs w:val="22"/>
        </w:rPr>
        <w:t xml:space="preserve">Documented discharge procedure covering department coordination including accounts.</w:t>
      </w:r>
    </w:p>
    <w:p>
      <w:pPr>
        <w:pStyle w:val="ListParagraph"/>
        <w:numPr>
          <w:ilvl w:val="0"/>
          <w:numId w:val="1"/>
        </w:numPr>
        <w:spacing w:after="60"/>
      </w:pPr>
      <w:r>
        <w:rPr>
          <w:sz w:val="22"/>
          <w:szCs w:val="22"/>
        </w:rPr>
        <w:t xml:space="preserve">MLC discharge file with police intimation record.</w:t>
      </w:r>
    </w:p>
    <w:p>
      <w:pPr>
        <w:pStyle w:val="ListParagraph"/>
        <w:numPr>
          <w:ilvl w:val="0"/>
          <w:numId w:val="1"/>
        </w:numPr>
        <w:spacing w:after="60"/>
      </w:pPr>
      <w:r>
        <w:rPr>
          <w:sz w:val="22"/>
          <w:szCs w:val="22"/>
        </w:rPr>
        <w:t xml:space="preserve">Absconded-case coordination record where applicable.</w:t>
      </w:r>
    </w:p>
    <w:p>
      <w:pPr>
        <w:pStyle w:val="Heading2"/>
        <w:spacing w:after="100" w:before="220"/>
      </w:pPr>
      <w:r>
        <w:t xml:space="preserve">AAC.12.c — Written guidance governs the discharge of patients leaving against medical advice.</w:t>
      </w:r>
    </w:p>
    <w:p>
      <w:pPr>
        <w:pStyle w:val="ListParagraph"/>
        <w:numPr>
          <w:ilvl w:val="0"/>
          <w:numId w:val="1"/>
        </w:numPr>
        <w:spacing w:after="60"/>
      </w:pPr>
      <w:r>
        <w:rPr>
          <w:sz w:val="22"/>
          <w:szCs w:val="22"/>
        </w:rPr>
        <w:t xml:space="preserve">Current LAMA written guidance.</w:t>
      </w:r>
    </w:p>
    <w:p>
      <w:pPr>
        <w:pStyle w:val="ListParagraph"/>
        <w:numPr>
          <w:ilvl w:val="0"/>
          <w:numId w:val="1"/>
        </w:numPr>
        <w:spacing w:after="60"/>
      </w:pPr>
      <w:r>
        <w:rPr>
          <w:sz w:val="22"/>
          <w:szCs w:val="22"/>
        </w:rPr>
        <w:t xml:space="preserve">Patient/attendant LAMA declaration in the required format.</w:t>
      </w:r>
    </w:p>
    <w:p>
      <w:pPr>
        <w:pStyle w:val="ListParagraph"/>
        <w:numPr>
          <w:ilvl w:val="0"/>
          <w:numId w:val="1"/>
        </w:numPr>
        <w:spacing w:after="60"/>
      </w:pPr>
      <w:r>
        <w:rPr>
          <w:sz w:val="22"/>
          <w:szCs w:val="22"/>
        </w:rPr>
        <w:t xml:space="preserve">Record that consequences of leaving were explained by the treating doctor.</w:t>
      </w:r>
    </w:p>
    <w:p>
      <w:pPr>
        <w:pStyle w:val="Heading2"/>
        <w:spacing w:after="100" w:before="220"/>
      </w:pPr>
      <w:r>
        <w:t xml:space="preserve">AAC.12.d — A discharge summary is given to all the patients leaving the organisation including patients leaving against medical advice.</w:t>
      </w:r>
    </w:p>
    <w:p>
      <w:pPr>
        <w:pStyle w:val="ListParagraph"/>
        <w:numPr>
          <w:ilvl w:val="0"/>
          <w:numId w:val="1"/>
        </w:numPr>
        <w:spacing w:after="60"/>
      </w:pPr>
      <w:r>
        <w:rPr>
          <w:sz w:val="22"/>
          <w:szCs w:val="22"/>
        </w:rPr>
        <w:t xml:space="preserve">Copy of discharge summary retained in the medical record for every leaver sampled.</w:t>
      </w:r>
    </w:p>
    <w:p>
      <w:pPr>
        <w:pStyle w:val="ListParagraph"/>
        <w:numPr>
          <w:ilvl w:val="0"/>
          <w:numId w:val="1"/>
        </w:numPr>
        <w:spacing w:after="60"/>
      </w:pPr>
      <w:r>
        <w:rPr>
          <w:sz w:val="22"/>
          <w:szCs w:val="22"/>
        </w:rPr>
        <w:t xml:space="preserve">LAMA cases with summary and reports handed over.</w:t>
      </w:r>
    </w:p>
    <w:p>
      <w:pPr>
        <w:pStyle w:val="ListParagraph"/>
        <w:numPr>
          <w:ilvl w:val="0"/>
          <w:numId w:val="1"/>
        </w:numPr>
        <w:spacing w:after="60"/>
      </w:pPr>
      <w:r>
        <w:rPr>
          <w:sz w:val="22"/>
          <w:szCs w:val="22"/>
        </w:rPr>
        <w:t xml:space="preserve">Death summary acknowledgement by next of kin where applicable.</w:t>
      </w:r>
    </w:p>
    <w:p>
      <w:pPr>
        <w:pStyle w:val="Heading2"/>
        <w:spacing w:after="100" w:before="220"/>
      </w:pPr>
      <w:r>
        <w:t xml:space="preserve">AAC.12.e — The organisation adheres to planned discharge.</w:t>
      </w:r>
    </w:p>
    <w:p>
      <w:pPr>
        <w:pStyle w:val="ListParagraph"/>
        <w:numPr>
          <w:ilvl w:val="0"/>
          <w:numId w:val="1"/>
        </w:numPr>
        <w:spacing w:after="60"/>
      </w:pPr>
      <w:r>
        <w:rPr>
          <w:sz w:val="22"/>
          <w:szCs w:val="22"/>
        </w:rPr>
        <w:t xml:space="preserve">Expected discharge noted at least 24 hours in advance for planned cases.</w:t>
      </w:r>
    </w:p>
    <w:p>
      <w:pPr>
        <w:pStyle w:val="ListParagraph"/>
        <w:numPr>
          <w:ilvl w:val="0"/>
          <w:numId w:val="1"/>
        </w:numPr>
        <w:spacing w:after="60"/>
      </w:pPr>
      <w:r>
        <w:rPr>
          <w:sz w:val="22"/>
          <w:szCs w:val="22"/>
        </w:rPr>
        <w:t xml:space="preserve">Draft discharge summary and special-needs preparation before discharge.</w:t>
      </w:r>
    </w:p>
    <w:p>
      <w:pPr>
        <w:pStyle w:val="ListParagraph"/>
        <w:numPr>
          <w:ilvl w:val="0"/>
          <w:numId w:val="1"/>
        </w:numPr>
        <w:spacing w:after="60"/>
      </w:pPr>
      <w:r>
        <w:rPr>
          <w:sz w:val="22"/>
          <w:szCs w:val="22"/>
        </w:rPr>
        <w:t xml:space="preserve">Log of unplanned discharges with reasons and minimisation actions.</w:t>
      </w:r>
    </w:p>
    <w:p>
      <w:pPr>
        <w:pStyle w:val="Heading2"/>
        <w:spacing w:after="100" w:before="220"/>
      </w:pPr>
      <w:r>
        <w:t xml:space="preserve">AAC.12.f — The care shall be provided by expanding access to health practices through domiciliary visits, wherever applicable.</w:t>
      </w:r>
    </w:p>
    <w:p>
      <w:pPr>
        <w:pStyle w:val="ListParagraph"/>
        <w:numPr>
          <w:ilvl w:val="0"/>
          <w:numId w:val="1"/>
        </w:numPr>
        <w:spacing w:after="60"/>
      </w:pPr>
      <w:r>
        <w:rPr>
          <w:sz w:val="22"/>
          <w:szCs w:val="22"/>
        </w:rPr>
        <w:t xml:space="preserve">Scope statement or written note of when domiciliary visits apply.</w:t>
      </w:r>
    </w:p>
    <w:p>
      <w:pPr>
        <w:pStyle w:val="ListParagraph"/>
        <w:numPr>
          <w:ilvl w:val="0"/>
          <w:numId w:val="1"/>
        </w:numPr>
        <w:spacing w:after="60"/>
      </w:pPr>
      <w:r>
        <w:rPr>
          <w:sz w:val="22"/>
          <w:szCs w:val="22"/>
        </w:rPr>
        <w:t xml:space="preserve">Domiciliary visit schedule and visit notes for eligible patients.</w:t>
      </w:r>
    </w:p>
    <w:p>
      <w:pPr>
        <w:pStyle w:val="ListParagraph"/>
        <w:numPr>
          <w:ilvl w:val="0"/>
          <w:numId w:val="1"/>
        </w:numPr>
        <w:spacing w:after="60"/>
      </w:pPr>
      <w:r>
        <w:rPr>
          <w:sz w:val="22"/>
          <w:szCs w:val="22"/>
        </w:rPr>
        <w:t xml:space="preserve">Discharge plan entries linking home visits where applicable.</w:t>
      </w:r>
    </w:p>
    <w:p>
      <w:pPr>
        <w:pStyle w:val="Heading2"/>
        <w:spacing w:after="100" w:before="220"/>
      </w:pPr>
      <w:r>
        <w:t xml:space="preserve">AAC.12.g — The organisation monitors the discharge time, sets appropriate benchmarks and makes continual improvement.</w:t>
      </w:r>
    </w:p>
    <w:p>
      <w:pPr>
        <w:pStyle w:val="ListParagraph"/>
        <w:numPr>
          <w:ilvl w:val="0"/>
          <w:numId w:val="1"/>
        </w:numPr>
        <w:spacing w:after="60"/>
      </w:pPr>
      <w:r>
        <w:rPr>
          <w:sz w:val="22"/>
          <w:szCs w:val="22"/>
        </w:rPr>
        <w:t xml:space="preserve">Defined discharge-time benchmarks (including by payer mix where used).</w:t>
      </w:r>
    </w:p>
    <w:p>
      <w:pPr>
        <w:pStyle w:val="ListParagraph"/>
        <w:numPr>
          <w:ilvl w:val="0"/>
          <w:numId w:val="1"/>
        </w:numPr>
        <w:spacing w:after="60"/>
      </w:pPr>
      <w:r>
        <w:rPr>
          <w:sz w:val="22"/>
          <w:szCs w:val="22"/>
        </w:rPr>
        <w:t xml:space="preserve">Discharge-time log from fit-for-discharge to bed vacated.</w:t>
      </w:r>
    </w:p>
    <w:p>
      <w:pPr>
        <w:pStyle w:val="ListParagraph"/>
        <w:numPr>
          <w:ilvl w:val="0"/>
          <w:numId w:val="1"/>
        </w:numPr>
        <w:spacing w:after="60"/>
      </w:pPr>
      <w:r>
        <w:rPr>
          <w:sz w:val="22"/>
          <w:szCs w:val="22"/>
        </w:rPr>
        <w:t xml:space="preserve">Delay analysis and continual-improvement actions.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«HCO/AAC/POL/12»  |  Controlled document  |  Established Discharge Process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2026-08-20T15:54:17.601Z</dcterms:created>
  <dcterms:modified xsi:type="dcterms:W3CDTF">2026-08-20T15:54:17.601Z</dcterms:modified>
</cp:coreProperties>
</file>

<file path=docProps/custom.xml><?xml version="1.0" encoding="utf-8"?>
<Properties xmlns="http://schemas.openxmlformats.org/officeDocument/2006/custom-properties" xmlns:vt="http://schemas.openxmlformats.org/officeDocument/2006/docPropsVTypes"/>
</file>