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Prevention of Healthcare Associated Infections in Patients</w:t>
      </w:r>
    </w:p>
    <w:p>
      <w:pPr>
        <w:spacing w:after="240"/>
        <w:jc w:val="center"/>
      </w:pPr>
      <w:r>
        <w:rPr>
          <w:i/>
          <w:iCs/>
          <w:sz w:val="20"/>
          <w:szCs w:val="20"/>
        </w:rPr>
        <w:t xml:space="preserve">HCO Full Accreditation, 6th Edition — IPC.5.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takes actions to prevent healthcare associated infections (HAI) in patients.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IPC.5: The organisation takes actions to prevent healthcare associated infections (HAI) in patients.</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prevention of healthcare associated infections in patients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Preview Hospital,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prevention of healthcare associated infections in patients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IPC.5 so that the organisation takes actions to prevent healthcare associated infections (HAI) in patients.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takes action to prevent catheter-associated urinary tract Infections.</w:t>
      </w:r>
    </w:p>
    <w:p>
      <w:pPr>
        <w:spacing w:after="80"/>
      </w:pPr>
      <w:r>
        <w:rPr>
          <w:sz w:val="22"/>
          <w:szCs w:val="22"/>
        </w:rPr>
        <w:t xml:space="preserve">2. Do not skip: The organisation takes action to prevent ventilator- associated pneumonia.</w:t>
      </w:r>
    </w:p>
    <w:p>
      <w:pPr>
        <w:spacing w:after="80"/>
      </w:pPr>
      <w:r>
        <w:rPr>
          <w:sz w:val="22"/>
          <w:szCs w:val="22"/>
        </w:rPr>
        <w:t xml:space="preserve">3. Do not skip: The organisation takes action to prevent central line associated blood stream infections.</w:t>
      </w:r>
    </w:p>
    <w:p>
      <w:pPr>
        <w:spacing w:after="80"/>
      </w:pPr>
      <w:r>
        <w:rPr>
          <w:sz w:val="22"/>
          <w:szCs w:val="22"/>
        </w:rPr>
        <w:t xml:space="preserve">4. Do not skip: The organisation takes action to prevent surgical site infections.</w:t>
      </w:r>
    </w:p>
    <w:p>
      <w:pPr>
        <w:spacing w:after="80"/>
      </w:pPr>
      <w:r>
        <w:rPr>
          <w:sz w:val="22"/>
          <w:szCs w:val="22"/>
        </w:rPr>
        <w:t xml:space="preserve">5. Do not bypass the stop-work authority in section 6 when the trigger conditions are met.</w:t>
      </w:r>
    </w:p>
    <w:p>
      <w:pPr>
        <w:spacing w:after="80"/>
      </w:pPr>
      <w:r>
        <w:rPr>
          <w:sz w:val="22"/>
          <w:szCs w:val="22"/>
        </w:rPr>
        <w:t xml:space="preserve">6. Staff who see an IPC.5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takes action to prevent catheter-associated urinary...</w:t>
      </w:r>
    </w:p>
    <w:p>
      <w:pPr>
        <w:spacing w:after="140"/>
      </w:pPr>
      <w:r>
        <w:rPr>
          <w:sz w:val="22"/>
          <w:szCs w:val="22"/>
        </w:rPr>
        <w:t xml:space="preserve">Actions to prevent catheter-associated urinary tract infection: insert only when indicated, aseptic insertion, closed system, daily review for removal, and standard plus transmission-based precautions as required.</w:t>
      </w:r>
    </w:p>
    <w:p>
      <w:pPr>
        <w:spacing w:after="140"/>
      </w:pPr>
      <w:r>
        <w:rPr>
          <w:sz w:val="22"/>
          <w:szCs w:val="22"/>
        </w:rPr>
        <w:t xml:space="preserve">Inserting a Foley without this bundle is a stop-work trigger (section 6). Nursing records indication and daily review.</w:t>
      </w:r>
    </w:p>
    <w:p>
      <w:pPr>
        <w:spacing w:after="140"/>
      </w:pPr>
      <w:r>
        <w:rPr>
          <w:sz w:val="22"/>
          <w:szCs w:val="22"/>
        </w:rPr>
        <w:t xml:space="preserve">Method note (from guidebook interpretation): The basic principles of infection prevention, namely standard Precautions and transmission-based precautions, shall be adhered. The organisation shall develop, implement and monitor a care bundle to prevent catheter-associated urinary tract infections. A good reference is the CDC/WHO/SHEA guidelines. Theorganisation takes action to prevent ventilator- associated pneumonia.</w:t>
      </w:r>
    </w:p>
    <w:p>
      <w:pPr>
        <w:pStyle w:val="Heading2"/>
        <w:spacing w:after="100" w:before="220"/>
      </w:pPr>
      <w:r>
        <w:t xml:space="preserve">5.2 The organisation takes action to prevent ventilator- associated...</w:t>
      </w:r>
    </w:p>
    <w:p>
      <w:pPr>
        <w:spacing w:after="140"/>
      </w:pPr>
      <w:r>
        <w:rPr>
          <w:sz w:val="22"/>
          <w:szCs w:val="22"/>
        </w:rPr>
        <w:t xml:space="preserve">Actions to prevent ventilator-associated pneumonia: head-of-bed elevation as clinically allowed, oral care, sedation/weaning review, circuit handling as the bundle states, and standard plus transmission-based precautions.</w:t>
      </w:r>
    </w:p>
    <w:p>
      <w:pPr>
        <w:spacing w:after="140"/>
      </w:pPr>
      <w:r>
        <w:rPr>
          <w:sz w:val="22"/>
          <w:szCs w:val="22"/>
        </w:rPr>
        <w:t xml:space="preserve">Starting invasive ventilation without the VAP bundle in place (as soon as the airway is secure) is a stop-work trigger for continuation of non-essential steps (section 6).</w:t>
      </w:r>
    </w:p>
    <w:p>
      <w:pPr>
        <w:spacing w:after="140"/>
      </w:pPr>
      <w:r>
        <w:rPr>
          <w:sz w:val="22"/>
          <w:szCs w:val="22"/>
        </w:rPr>
        <w:t xml:space="preserve">Method note (from guidebook interpretation): The basic principles of infection prevention, namely standard precautions and transmission-based precautions, shall be adhered. The organisation shall develop, implement and monitor a care bundle to prevent ventilator-associated pneumonia. A good reference is the CDC/WHO/SHEA guidelines.</w:t>
      </w:r>
    </w:p>
    <w:p>
      <w:pPr>
        <w:pStyle w:val="Heading2"/>
        <w:spacing w:after="100" w:before="220"/>
      </w:pPr>
      <w:r>
        <w:t xml:space="preserve">5.3 The organisation takes action to prevent central line associated blood...</w:t>
      </w:r>
    </w:p>
    <w:p>
      <w:pPr>
        <w:spacing w:after="140"/>
      </w:pPr>
      <w:r>
        <w:rPr>
          <w:sz w:val="22"/>
          <w:szCs w:val="22"/>
        </w:rPr>
        <w:t xml:space="preserve">Actions to prevent central-line associated bloodstream infection: maximal barrier insertion, chlorhexidine skin prep (or the organisation's equivalent), daily line necessity review, and hub care.</w:t>
      </w:r>
    </w:p>
    <w:p>
      <w:pPr>
        <w:spacing w:after="140"/>
      </w:pPr>
      <w:r>
        <w:rPr>
          <w:sz w:val="22"/>
          <w:szCs w:val="22"/>
        </w:rPr>
        <w:t xml:space="preserve">Inserting a central line without the CLABSI bundle is a stop-work trigger (section 6).</w:t>
      </w:r>
    </w:p>
    <w:p>
      <w:pPr>
        <w:spacing w:after="140"/>
      </w:pPr>
      <w:r>
        <w:rPr>
          <w:sz w:val="22"/>
          <w:szCs w:val="22"/>
        </w:rPr>
        <w:t xml:space="preserve">Method note (from guidebook interpretation): The basic principles of infection prevention, namely standard precautions and transmission-based precautions, shall be adhered. The organisation shall develop, implement and monitor the compliance to care bundle to prevent catheter linked blood stream infections. A good reference is the CDC/WHO/SHEA guidelines.</w:t>
      </w:r>
    </w:p>
    <w:p>
      <w:pPr>
        <w:pStyle w:val="Heading2"/>
        <w:spacing w:after="100" w:before="220"/>
      </w:pPr>
      <w:r>
        <w:t xml:space="preserve">5.4 The organisation takes action to prevent surgical site infections</w:t>
      </w:r>
    </w:p>
    <w:p>
      <w:pPr>
        <w:spacing w:after="140"/>
      </w:pPr>
      <w:r>
        <w:rPr>
          <w:sz w:val="22"/>
          <w:szCs w:val="22"/>
        </w:rPr>
        <w:t xml:space="preserve">Actions to prevent surgical site infection: antimicrobial prophylaxis as the policy times it, skin prep, glycaemic and temperature control as the bundle states, and sterile technique.</w:t>
      </w:r>
    </w:p>
    <w:p>
      <w:pPr>
        <w:spacing w:after="140"/>
      </w:pPr>
      <w:r>
        <w:rPr>
          <w:sz w:val="22"/>
          <w:szCs w:val="22"/>
        </w:rPr>
        <w:t xml:space="preserve">Making an incision without the SSI bundle items that must be in place before knife-to-skin is a stop-work trigger (section 6). Cross-reference the surgical-safety policy.</w:t>
      </w:r>
    </w:p>
    <w:p>
      <w:pPr>
        <w:spacing w:after="140"/>
      </w:pPr>
      <w:r>
        <w:rPr>
          <w:sz w:val="22"/>
          <w:szCs w:val="22"/>
        </w:rPr>
        <w:t xml:space="preserve">Method note (from guidebook interpretation): The basic principles of infection prevention, namely standard precautions and transmission-based precautions, shall be adhered. This shall include pre-op, intra-op and post-op measures and develop ,implement and monitor the compliance to care bundle to prevent surgical site infections. A good reference is the CDC/WHO/SHEA guidelines. is =].</w:t>
      </w:r>
    </w:p>
    <w:p>
      <w:pPr>
        <w:pStyle w:val="Heading1"/>
        <w:spacing w:after="120" w:before="280"/>
      </w:pPr>
      <w:r>
        <w:t xml:space="preserve">6. Stop-work authority</w:t>
      </w:r>
    </w:p>
    <w:p>
      <w:pPr>
        <w:spacing w:after="140"/>
      </w:pPr>
      <w:r>
        <w:rPr>
          <w:sz w:val="22"/>
          <w:szCs w:val="22"/>
        </w:rPr>
        <w:t xml:space="preserve">Do not insert an indwelling urinary catheter, insert a central line, start invasive ventilation, or make a surgical incision unless the organisation's prevention bundle for that HAI (CAUTI, CLABSI, VAP or SSI) is in place for this patient.</w:t>
      </w:r>
    </w:p>
    <w:p>
      <w:pPr>
        <w:spacing w:after="140"/>
      </w:pPr>
      <w:r>
        <w:rPr>
          <w:sz w:val="22"/>
          <w:szCs w:val="22"/>
        </w:rPr>
        <w:t xml:space="preserve">Stop-work applies to the device insertion or incision. Life-saving airway or haemorrhage control continues with the best available precautions and the bundle is completed as soon as the patient is stable.</w:t>
      </w:r>
    </w:p>
    <w:p>
      <w:pPr>
        <w:spacing w:after="140"/>
      </w:pPr>
      <w:r>
        <w:rPr>
          <w:sz w:val="22"/>
          <w:szCs w:val="22"/>
        </w:rPr>
        <w:t xml:space="preserve">The person who stops tells the «treating doctor» and the «Infection Prevention and Control Officer» the same shift. Refusing an insertion without the bundle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IPC.5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Prevention of Healthcare Associated Infections in Patients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IPC.5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Preview Hospital: Infection Prevention and Control Manual, antimicrobial policy, BMW and housekeeping procedures, CSSD sterilisation records, occupational-health and PEP guidance named for IPC.5.</w:t>
      </w:r>
    </w:p>
    <w:p>
      <w:pPr>
        <w:pStyle w:val="Heading1"/>
        <w:spacing w:after="120" w:before="280"/>
      </w:pPr>
      <w:r>
        <w:t xml:space="preserve">11.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IPC.5</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catheter-associated urinary tract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ventilator- associated pneumonia.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central line associated blood stream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surgical site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IPC.5.a — The organisation takes action to prevent catheter-associated urinary tract Infections.</w:t>
      </w:r>
    </w:p>
    <w:p>
      <w:pPr>
        <w:pStyle w:val="ListParagraph"/>
        <w:numPr>
          <w:ilvl w:val="0"/>
          <w:numId w:val="1"/>
        </w:numPr>
        <w:spacing w:after="60"/>
      </w:pPr>
      <w:r>
        <w:rPr>
          <w:sz w:val="22"/>
          <w:szCs w:val="22"/>
        </w:rPr>
        <w:t xml:space="preserve">CAUTI-prevention bundle: insertion-indication record, aseptic-insertion checklist, daily removal-review log.</w:t>
      </w:r>
    </w:p>
    <w:p>
      <w:pPr>
        <w:pStyle w:val="ListParagraph"/>
        <w:numPr>
          <w:ilvl w:val="0"/>
          <w:numId w:val="1"/>
        </w:numPr>
        <w:spacing w:after="60"/>
      </w:pPr>
      <w:r>
        <w:rPr>
          <w:sz w:val="22"/>
          <w:szCs w:val="22"/>
        </w:rPr>
        <w:t xml:space="preserve">Closed-system maintenance record.</w:t>
      </w:r>
    </w:p>
    <w:p>
      <w:pPr>
        <w:pStyle w:val="ListParagraph"/>
        <w:numPr>
          <w:ilvl w:val="0"/>
          <w:numId w:val="1"/>
        </w:numPr>
        <w:spacing w:after="60"/>
      </w:pPr>
      <w:r>
        <w:rPr>
          <w:sz w:val="22"/>
          <w:szCs w:val="22"/>
        </w:rPr>
        <w:t xml:space="preserve">Nursing documentation confirming the bundle was followed for a sampled case.</w:t>
      </w:r>
    </w:p>
    <w:p>
      <w:pPr>
        <w:pStyle w:val="Heading2"/>
        <w:spacing w:after="100" w:before="220"/>
      </w:pPr>
      <w:r>
        <w:t xml:space="preserve">IPC.5.b — The organisation takes action to prevent ventilator- associated pneumonia.</w:t>
      </w:r>
    </w:p>
    <w:p>
      <w:pPr>
        <w:pStyle w:val="ListParagraph"/>
        <w:numPr>
          <w:ilvl w:val="0"/>
          <w:numId w:val="1"/>
        </w:numPr>
        <w:spacing w:after="60"/>
      </w:pPr>
      <w:r>
        <w:rPr>
          <w:sz w:val="22"/>
          <w:szCs w:val="22"/>
        </w:rPr>
        <w:t xml:space="preserve">VAP-prevention bundle: head-of-bed-elevation record, oral-care log, sedation/weaning review record.</w:t>
      </w:r>
    </w:p>
    <w:p>
      <w:pPr>
        <w:pStyle w:val="ListParagraph"/>
        <w:numPr>
          <w:ilvl w:val="0"/>
          <w:numId w:val="1"/>
        </w:numPr>
        <w:spacing w:after="60"/>
      </w:pPr>
      <w:r>
        <w:rPr>
          <w:sz w:val="22"/>
          <w:szCs w:val="22"/>
        </w:rPr>
        <w:t xml:space="preserve">Circuit-handling record per the bundle.</w:t>
      </w:r>
    </w:p>
    <w:p>
      <w:pPr>
        <w:pStyle w:val="ListParagraph"/>
        <w:numPr>
          <w:ilvl w:val="0"/>
          <w:numId w:val="1"/>
        </w:numPr>
        <w:spacing w:after="60"/>
      </w:pPr>
      <w:r>
        <w:rPr>
          <w:sz w:val="22"/>
          <w:szCs w:val="22"/>
        </w:rPr>
        <w:t xml:space="preserve">Nursing or respiratory-therapy documentation confirming bundle compliance for a sampled case.</w:t>
      </w:r>
    </w:p>
    <w:p>
      <w:pPr>
        <w:pStyle w:val="Heading2"/>
        <w:spacing w:after="100" w:before="220"/>
      </w:pPr>
      <w:r>
        <w:t xml:space="preserve">IPC.5.c — The organisation takes action to prevent central line associated blood stream infections.</w:t>
      </w:r>
    </w:p>
    <w:p>
      <w:pPr>
        <w:pStyle w:val="ListParagraph"/>
        <w:numPr>
          <w:ilvl w:val="0"/>
          <w:numId w:val="1"/>
        </w:numPr>
        <w:spacing w:after="60"/>
      </w:pPr>
      <w:r>
        <w:rPr>
          <w:sz w:val="22"/>
          <w:szCs w:val="22"/>
        </w:rPr>
        <w:t xml:space="preserve">CLABSI-prevention bundle: maximal-barrier insertion checklist, skin-prep record, daily line-necessity review.</w:t>
      </w:r>
    </w:p>
    <w:p>
      <w:pPr>
        <w:pStyle w:val="ListParagraph"/>
        <w:numPr>
          <w:ilvl w:val="0"/>
          <w:numId w:val="1"/>
        </w:numPr>
        <w:spacing w:after="60"/>
      </w:pPr>
      <w:r>
        <w:rPr>
          <w:sz w:val="22"/>
          <w:szCs w:val="22"/>
        </w:rPr>
        <w:t xml:space="preserve">Hub-care record.</w:t>
      </w:r>
    </w:p>
    <w:p>
      <w:pPr>
        <w:pStyle w:val="ListParagraph"/>
        <w:numPr>
          <w:ilvl w:val="0"/>
          <w:numId w:val="1"/>
        </w:numPr>
        <w:spacing w:after="60"/>
      </w:pPr>
      <w:r>
        <w:rPr>
          <w:sz w:val="22"/>
          <w:szCs w:val="22"/>
        </w:rPr>
        <w:t xml:space="preserve">Nursing documentation confirming bundle compliance for a sampled case.</w:t>
      </w:r>
    </w:p>
    <w:p>
      <w:pPr>
        <w:pStyle w:val="Heading2"/>
        <w:spacing w:after="100" w:before="220"/>
      </w:pPr>
      <w:r>
        <w:t xml:space="preserve">IPC.5.d — The organisation takes action to prevent surgical site infections.</w:t>
      </w:r>
    </w:p>
    <w:p>
      <w:pPr>
        <w:pStyle w:val="ListParagraph"/>
        <w:numPr>
          <w:ilvl w:val="0"/>
          <w:numId w:val="1"/>
        </w:numPr>
        <w:spacing w:after="60"/>
      </w:pPr>
      <w:r>
        <w:rPr>
          <w:sz w:val="22"/>
          <w:szCs w:val="22"/>
        </w:rPr>
        <w:t xml:space="preserve">SSI-prevention bundle: antimicrobial-prophylaxis timing record, skin-prep record, glycaemic and temperature-control log.</w:t>
      </w:r>
    </w:p>
    <w:p>
      <w:pPr>
        <w:pStyle w:val="ListParagraph"/>
        <w:numPr>
          <w:ilvl w:val="0"/>
          <w:numId w:val="1"/>
        </w:numPr>
        <w:spacing w:after="60"/>
      </w:pPr>
      <w:r>
        <w:rPr>
          <w:sz w:val="22"/>
          <w:szCs w:val="22"/>
        </w:rPr>
        <w:t xml:space="preserve">Sterile-technique confirmation for the case.</w:t>
      </w:r>
    </w:p>
    <w:p>
      <w:pPr>
        <w:pStyle w:val="ListParagraph"/>
        <w:numPr>
          <w:ilvl w:val="0"/>
          <w:numId w:val="1"/>
        </w:numPr>
        <w:spacing w:after="60"/>
      </w:pPr>
      <w:r>
        <w:rPr>
          <w:sz w:val="22"/>
          <w:szCs w:val="22"/>
        </w:rPr>
        <w:t xml:space="preserve">Cross-reference to the surgical-safety checklist.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«HCO/IPC/POL/05»  |  Controlled document  |  Prevention of Healthcare Associated Infections in Patients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2026-08-21T14:56:32.621Z</dcterms:created>
  <dcterms:modified xsi:type="dcterms:W3CDTF">2026-08-21T14:56:32.624Z</dcterms:modified>
</cp:coreProperties>
</file>

<file path=docProps/custom.xml><?xml version="1.0" encoding="utf-8"?>
<Properties xmlns="http://schemas.openxmlformats.org/officeDocument/2006/custom-properties" xmlns:vt="http://schemas.openxmlformats.org/officeDocument/2006/docPropsVTypes"/>
</file>