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Surveillance</w:t>
      </w:r>
    </w:p>
    <w:p>
      <w:pPr>
        <w:spacing w:after="240"/>
        <w:jc w:val="center"/>
      </w:pPr>
      <w:r>
        <w:rPr>
          <w:i/>
          <w:iCs/>
          <w:sz w:val="20"/>
          <w:szCs w:val="20"/>
        </w:rPr>
        <w:t xml:space="preserve">HCO Full Accreditation, 6th Edition — IPC.6.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performs surveillance to capture and monitor infection prevention and control data.</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IPC.6: The organisation performs surveillance to capture and monitor infection prevention and control data.</w:t>
      </w:r>
    </w:p>
    <w:p>
      <w:pPr>
        <w:spacing w:after="140"/>
      </w:pPr>
      <w:r>
        <w:rPr>
          <w:sz w:val="22"/>
          <w:szCs w:val="22"/>
        </w:rPr>
        <w:t xml:space="preserve">This policy covers all 9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infection prevention and control surveillance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Preview Hospital,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This policy covers all 9 requirements under this standard, listed in detail below.</w:t>
      </w:r>
    </w:p>
    <w:p>
      <w:pPr>
        <w:spacing w:after="140"/>
      </w:pPr>
      <w:r>
        <w:rPr>
          <w:sz w:val="22"/>
          <w:szCs w:val="22"/>
        </w:rPr>
        <w:t xml:space="preserve">This policy covers infection prevention and control surveillance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IPC.6 so that the organisation performs surveillance to capture and monitor infection prevention and control data.</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scope of surveillance incorporates tracking and analysing of infection risks, rates and trends.</w:t>
      </w:r>
    </w:p>
    <w:p>
      <w:pPr>
        <w:spacing w:after="80"/>
      </w:pPr>
      <w:r>
        <w:rPr>
          <w:sz w:val="22"/>
          <w:szCs w:val="22"/>
        </w:rPr>
        <w:t xml:space="preserve">2. Do not skip: Verification of data is done regularly by the infection prevention and control team.</w:t>
      </w:r>
    </w:p>
    <w:p>
      <w:pPr>
        <w:spacing w:after="80"/>
      </w:pPr>
      <w:r>
        <w:rPr>
          <w:sz w:val="22"/>
          <w:szCs w:val="22"/>
        </w:rPr>
        <w:t xml:space="preserve">3. Do not skip: Surveillance is directed towards the identified high-risk activities.</w:t>
      </w:r>
    </w:p>
    <w:p>
      <w:pPr>
        <w:spacing w:after="80"/>
      </w:pPr>
      <w:r>
        <w:rPr>
          <w:sz w:val="22"/>
          <w:szCs w:val="22"/>
        </w:rPr>
        <w:t xml:space="preserve">4. Do not skip: Surveillance includes monitoring compliance with hand-hygiene guidelines.</w:t>
      </w:r>
    </w:p>
    <w:p>
      <w:pPr>
        <w:spacing w:after="80"/>
      </w:pPr>
      <w:r>
        <w:rPr>
          <w:sz w:val="22"/>
          <w:szCs w:val="22"/>
        </w:rPr>
        <w:t xml:space="preserve">5. Do not skip: Surveillance includes mechanisms to capture the occurrence of multi-drug- resistant organisms.</w:t>
      </w:r>
    </w:p>
    <w:p>
      <w:pPr>
        <w:spacing w:after="80"/>
      </w:pPr>
      <w:r>
        <w:rPr>
          <w:sz w:val="22"/>
          <w:szCs w:val="22"/>
        </w:rPr>
        <w:t xml:space="preserve">6. Do not skip: Surveillance includes monitoring the effectiveness of housekeeping services.</w:t>
      </w:r>
    </w:p>
    <w:p>
      <w:pPr>
        <w:spacing w:after="80"/>
      </w:pPr>
      <w:r>
        <w:rPr>
          <w:sz w:val="22"/>
          <w:szCs w:val="22"/>
        </w:rPr>
        <w:t xml:space="preserve">7. Do not skip: Feedback regarding surveillance data is provided regularly to the appropriate health care provider.</w:t>
      </w:r>
    </w:p>
    <w:p>
      <w:pPr>
        <w:spacing w:after="80"/>
      </w:pPr>
      <w:r>
        <w:rPr>
          <w:sz w:val="22"/>
          <w:szCs w:val="22"/>
        </w:rPr>
        <w:t xml:space="preserve">8. Do not skip: The organisation identifies and takes appropriate action to control outbreaks of infections.</w:t>
      </w:r>
    </w:p>
    <w:p>
      <w:pPr>
        <w:spacing w:after="80"/>
      </w:pPr>
      <w:r>
        <w:rPr>
          <w:sz w:val="22"/>
          <w:szCs w:val="22"/>
        </w:rPr>
        <w:t xml:space="preserve">9. Do not skip: Surveillance data is analysed and appropriate corrective and preventive actions are taken.</w:t>
      </w:r>
    </w:p>
    <w:p>
      <w:pPr>
        <w:spacing w:after="80"/>
      </w:pPr>
      <w:r>
        <w:rPr>
          <w:sz w:val="22"/>
          <w:szCs w:val="22"/>
        </w:rPr>
        <w:t xml:space="preserve">10. Staff who see an IPC.6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scope of surveillance incorporates tracking and analysing of...</w:t>
      </w:r>
    </w:p>
    <w:p>
      <w:pPr>
        <w:spacing w:after="140"/>
      </w:pPr>
      <w:r>
        <w:rPr>
          <w:sz w:val="22"/>
          <w:szCs w:val="22"/>
        </w:rPr>
        <w:t xml:space="preserve">Surveillance mixes active and passive methods and tracks infection risks, rates and trends for the HAIs and processes the «Infection Prevention and Control Committee» names (at least the HAIs in IPC.5 plus hand hygiene and BMW as applicable).</w:t>
      </w:r>
    </w:p>
    <w:p>
      <w:pPr>
        <w:spacing w:after="140"/>
      </w:pPr>
      <w:r>
        <w:rPr>
          <w:sz w:val="22"/>
          <w:szCs w:val="22"/>
        </w:rPr>
        <w:t xml:space="preserve">Denominator rules are written. The «Infection Prevention and Control Nurse» compiles monthly rates for the «Infection Prevention and Control Committee».</w:t>
      </w:r>
    </w:p>
    <w:p>
      <w:pPr>
        <w:spacing w:after="140"/>
      </w:pPr>
      <w:r>
        <w:rPr>
          <w:sz w:val="22"/>
          <w:szCs w:val="22"/>
        </w:rPr>
        <w:t xml:space="preserve">Method note (from guidebook interpretation): The organisation shall use a judicious mix of active and passive surveillance. The organisation could lay down the parameters that need to be captured and the process for reporting. The collection of surveillance data is an on-going process and is done at regular intervals (may be monthly and consolidated into an annual report), and the organisation shall take suitable steps based on the analysis. A simple calculation of infected patients (numerator) provides only limited information which would be difficult to interpret. Risk factor analysis would require information for both infected and non-infected patients to calculate infection and risk-adjusted rates.</w:t>
      </w:r>
    </w:p>
    <w:p>
      <w:pPr>
        <w:spacing w:after="140"/>
      </w:pPr>
      <w:r>
        <w:rPr>
          <w:sz w:val="22"/>
          <w:szCs w:val="22"/>
        </w:rPr>
        <w:t xml:space="preserve">This is a CORE objective element — non-compliance is not acceptable for accreditation.</w:t>
      </w:r>
    </w:p>
    <w:p>
      <w:pPr>
        <w:pStyle w:val="Heading2"/>
        <w:spacing w:after="100" w:before="220"/>
      </w:pPr>
      <w:r>
        <w:t xml:space="preserve">5.2 Verification of data is done regularly by the infection prevention and...</w:t>
      </w:r>
    </w:p>
    <w:p>
      <w:pPr>
        <w:spacing w:after="140"/>
      </w:pPr>
      <w:r>
        <w:rPr>
          <w:sz w:val="22"/>
          <w:szCs w:val="22"/>
        </w:rPr>
        <w:t xml:space="preserve">The IPC team verifies surveillance data regularly — by reviewing each case or a defined sample — before rates are issued.</w:t>
      </w:r>
    </w:p>
    <w:p>
      <w:pPr>
        <w:spacing w:after="140"/>
      </w:pPr>
      <w:r>
        <w:rPr>
          <w:sz w:val="22"/>
          <w:szCs w:val="22"/>
        </w:rPr>
        <w:t xml:space="preserve">The «Infection Prevention and Control Officer» signs the monthly verification. Unverified counts are not used as official rates.</w:t>
      </w:r>
    </w:p>
    <w:p>
      <w:pPr>
        <w:spacing w:after="140"/>
      </w:pPr>
      <w:r>
        <w:rPr>
          <w:sz w:val="22"/>
          <w:szCs w:val="22"/>
        </w:rPr>
        <w:t xml:space="preserve">Method note (from guidebook interpretation): The data collected shall be authenticated by the infection prevention and control team by going through every data or by using random sampling. In case the collection of data is done only by the infection prevention and control team, verification is not necessary cc. HM core vF.</w:t>
      </w:r>
    </w:p>
    <w:p>
      <w:pPr>
        <w:pStyle w:val="Heading2"/>
        <w:spacing w:after="100" w:before="220"/>
      </w:pPr>
      <w:r>
        <w:t xml:space="preserve">5.3 Surveillance is directed towards the identified high-risk activities</w:t>
      </w:r>
    </w:p>
    <w:p>
      <w:pPr>
        <w:spacing w:after="140"/>
      </w:pPr>
      <w:r>
        <w:rPr>
          <w:sz w:val="22"/>
          <w:szCs w:val="22"/>
        </w:rPr>
        <w:t xml:space="preserve">Surveillance is directed at the high-risk activities identified in IPC.1.b. Evidence of periodic surveillance in those areas (OT, ICU, dialysis, CSSD, etc.) is on file.</w:t>
      </w:r>
    </w:p>
    <w:p>
      <w:pPr>
        <w:spacing w:after="140"/>
      </w:pPr>
      <w:r>
        <w:rPr>
          <w:sz w:val="22"/>
          <w:szCs w:val="22"/>
        </w:rPr>
        <w:t xml:space="preserve">A hospital-wide rate without high-risk-area breakout is not this element.</w:t>
      </w:r>
    </w:p>
    <w:p>
      <w:pPr>
        <w:spacing w:after="140"/>
      </w:pPr>
      <w:r>
        <w:rPr>
          <w:sz w:val="22"/>
          <w:szCs w:val="22"/>
        </w:rPr>
        <w:t xml:space="preserve">Method note (from guidebook interpretation): The organisation must be able to provide evidence of conducting periodic surveillance in its identified high-risk activities and high-risk areas. It shall define the frequency and mode of surveillance. The surveillance system shall be appropriate and adhering to national/international guidelines. Surveillance activities include areas where demolition, construction or repairs are undertaken.</w:t>
      </w:r>
    </w:p>
    <w:p>
      <w:pPr>
        <w:pStyle w:val="Heading2"/>
        <w:spacing w:after="100" w:before="220"/>
      </w:pPr>
      <w:r>
        <w:t xml:space="preserve">5.4 Surveillance includes monitoring compliance with hand-hygiene guidelines</w:t>
      </w:r>
    </w:p>
    <w:p>
      <w:pPr>
        <w:spacing w:after="140"/>
      </w:pPr>
      <w:r>
        <w:rPr>
          <w:sz w:val="22"/>
          <w:szCs w:val="22"/>
        </w:rPr>
        <w:t xml:space="preserve">Hand-hygiene compliance is monitored at least «monthly» on an appropriate sample covering all staff categories who touch patients. Results go to the «Infection Prevention and Control Committee» and to the units.</w:t>
      </w:r>
    </w:p>
    <w:p>
      <w:pPr>
        <w:spacing w:after="140"/>
      </w:pPr>
      <w:r>
        <w:rPr>
          <w:sz w:val="22"/>
          <w:szCs w:val="22"/>
        </w:rPr>
        <w:t xml:space="preserve">This CORE monitoring is how IPC.3.b is shown to be happening, not a substitute for it.</w:t>
      </w:r>
    </w:p>
    <w:p>
      <w:pPr>
        <w:spacing w:after="140"/>
      </w:pPr>
      <w:r>
        <w:rPr>
          <w:sz w:val="22"/>
          <w:szCs w:val="22"/>
        </w:rPr>
        <w:t xml:space="preserve">Method note (from guidebook interpretation): The monitoring shall be done at a minimum once every month. An appropriate sample size shall be chosen and all categories of staff (involved in direct patient care) shall be monitored. The compliance levels shall be shared with the relevant staff. A good tool is the WHO’s “Observation Form”. al BS Sa HB.</w:t>
      </w:r>
    </w:p>
    <w:p>
      <w:pPr>
        <w:spacing w:after="140"/>
      </w:pPr>
      <w:r>
        <w:rPr>
          <w:sz w:val="22"/>
          <w:szCs w:val="22"/>
        </w:rPr>
        <w:t xml:space="preserve">This is a CORE objective element — non-compliance is not acceptable for accreditation.</w:t>
      </w:r>
    </w:p>
    <w:p>
      <w:pPr>
        <w:pStyle w:val="Heading2"/>
        <w:spacing w:after="100" w:before="220"/>
      </w:pPr>
      <w:r>
        <w:t xml:space="preserve">5.5 Surveillance includes mechanisms to capture the occurrence of...</w:t>
      </w:r>
    </w:p>
    <w:p>
      <w:pPr>
        <w:spacing w:after="140"/>
      </w:pPr>
      <w:r>
        <w:rPr>
          <w:sz w:val="22"/>
          <w:szCs w:val="22"/>
        </w:rPr>
        <w:t xml:space="preserve">Surveillance captures occurrence of multi-drug-resistant organisms (for example MRSA, VRE, carbapenem-resistant Enterobacterales as microbiology reports them). Infection vs colonisation is distinguished as the «Infection Prevention and Control Committee» defines.</w:t>
      </w:r>
    </w:p>
    <w:p>
      <w:pPr>
        <w:spacing w:after="140"/>
      </w:pPr>
      <w:r>
        <w:rPr>
          <w:sz w:val="22"/>
          <w:szCs w:val="22"/>
        </w:rPr>
        <w:t xml:space="preserve">The «Microbiologist» alerts the «Infection Prevention and Control Nurse» of new MDRO isolates the same working day. This Achievement element is evidenced by a working capture mechanism.</w:t>
      </w:r>
    </w:p>
    <w:p>
      <w:pPr>
        <w:spacing w:after="140"/>
      </w:pPr>
      <w:r>
        <w:rPr>
          <w:sz w:val="22"/>
          <w:szCs w:val="22"/>
        </w:rPr>
        <w:t xml:space="preserve">Method note (from guidebook interpretation): The organisation shall monitor the occurrence and spread of multi-drug resistant organisms (MDROs) for example methicillin-resistant Staphylococcus aureus (MRSA), multi-drug resistant gram-negative bacteria, Vancomycin-resistant enterococci (VRE) etc.</w:t>
      </w:r>
    </w:p>
    <w:p>
      <w:pPr>
        <w:pStyle w:val="Heading2"/>
        <w:spacing w:after="100" w:before="220"/>
      </w:pPr>
      <w:r>
        <w:t xml:space="preserve">5.6 Surveillance includes monitoring the effectiveness of housekeeping...</w:t>
      </w:r>
    </w:p>
    <w:p>
      <w:pPr>
        <w:spacing w:after="140"/>
      </w:pPr>
      <w:r>
        <w:rPr>
          <w:sz w:val="22"/>
          <w:szCs w:val="22"/>
        </w:rPr>
        <w:t xml:space="preserve">Effectiveness of housekeeping is monitored on a defined schedule (visual plus, where used, fluorescent marker or ATP as the «Infection Prevention and Control Committee» chooses) in high-risk and public areas.</w:t>
      </w:r>
    </w:p>
    <w:p>
      <w:pPr>
        <w:spacing w:after="140"/>
      </w:pPr>
      <w:r>
        <w:rPr>
          <w:sz w:val="22"/>
          <w:szCs w:val="22"/>
        </w:rPr>
        <w:t xml:space="preserve">Results go to housekeeping and the «Infection Prevention and Control Committee». Repeat fails trigger retraining or product/method change. This is CORE.</w:t>
      </w:r>
    </w:p>
    <w:p>
      <w:pPr>
        <w:spacing w:after="140"/>
      </w:pPr>
      <w:r>
        <w:rPr>
          <w:sz w:val="22"/>
          <w:szCs w:val="22"/>
        </w:rPr>
        <w:t xml:space="preserve">Method note (from guidebook interpretation): Monitoring of the effectiveness of housekeeping services shall be done regularly. The organisation shall define the periodicity. This is applicable even if the housekeeping services are outsourced. It is mandatory to capture the effectiveness of the housekeeping activities and not just verify if the housekeeping activity has been done as per the defined frequency. To capture effectiveness, the organisation shall identify desired outcome parameters for housekeeping activities. For example, cleanliness of Hospital Premises, Patient feedback on housekeeping services, Staff feedback on housekeeping services The data could be captured using a checklist. This need not mean routine environmental sampling. The swabs and culture plates should not be collected routinely from OT and other high risk areas for monitoring the clean environment. Periodic fumigation is not recommended. Fogging is recommended only in following conditions * Commissioning of new OT * Modification/ renovation of OT * Significant increase in SSI with evidence of evolvement of environment.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5.7 Feedback regarding surveillance data is provided regularly to the...</w:t>
      </w:r>
    </w:p>
    <w:p>
      <w:pPr>
        <w:spacing w:after="140"/>
      </w:pPr>
      <w:r>
        <w:rPr>
          <w:sz w:val="22"/>
          <w:szCs w:val="22"/>
        </w:rPr>
        <w:t xml:space="preserve">Surveillance feedback — adherence rates, HAI rates, trends and opportunities — is given regularly to the healthcare providers who can act on it (unit in-charges, «Infection Prevention and Control Committee», treating doctors).</w:t>
      </w:r>
    </w:p>
    <w:p>
      <w:pPr>
        <w:spacing w:after="140"/>
      </w:pPr>
      <w:r>
        <w:rPr>
          <w:sz w:val="22"/>
          <w:szCs w:val="22"/>
        </w:rPr>
        <w:t xml:space="preserve">A rate that sits only in the IPC office is not feedback. The «Infection Prevention and Control Nurse» keeps the distribution list and dates.</w:t>
      </w:r>
    </w:p>
    <w:p>
      <w:pPr>
        <w:spacing w:after="140"/>
      </w:pPr>
      <w:r>
        <w:rPr>
          <w:sz w:val="22"/>
          <w:szCs w:val="22"/>
        </w:rPr>
        <w:t xml:space="preserve">Method note (from guidebook interpretation): The feedback shall include the adherence rates, healthcare associated infection (HAI) rates, trends and opportunities for improvement, including data from other surveillance activities. It could also provide specific inputs to reduce the HAI rate. This could be in the form ofa bulletin/newsletter. I —h.</w:t>
      </w:r>
    </w:p>
    <w:p>
      <w:pPr>
        <w:pStyle w:val="Heading2"/>
        <w:spacing w:after="100" w:before="220"/>
      </w:pPr>
      <w:r>
        <w:t xml:space="preserve">5.8 The organisation identifies and takes appropriate action to control...</w:t>
      </w:r>
    </w:p>
    <w:p>
      <w:pPr>
        <w:spacing w:after="140"/>
      </w:pPr>
      <w:r>
        <w:rPr>
          <w:sz w:val="22"/>
          <w:szCs w:val="22"/>
        </w:rPr>
        <w:t xml:space="preserve">Outbreaks are defined using baseline rates. Written guidance names who declares an outbreak, isolation/cohorting, communication and when to call the statutory agency.</w:t>
      </w:r>
    </w:p>
    <w:p>
      <w:pPr>
        <w:spacing w:after="140"/>
      </w:pPr>
      <w:r>
        <w:rPr>
          <w:sz w:val="22"/>
          <w:szCs w:val="22"/>
        </w:rPr>
        <w:t xml:space="preserve">The «Infection Prevention and Control Officer» leads the response. Delay in declaring when the definition is met is escalated to the «Medical Superintendent».</w:t>
      </w:r>
    </w:p>
    <w:p>
      <w:pPr>
        <w:spacing w:after="140"/>
      </w:pPr>
      <w:r>
        <w:rPr>
          <w:sz w:val="22"/>
          <w:szCs w:val="22"/>
        </w:rPr>
        <w:t xml:space="preserve">Method note (from guidebook interpretation): Surveillance shall help early identification of outbreaks. To define as to what constitutes an outbreak, the organisation shall have baseline rates. The organisation implements written guidance for handling such outbreaks.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5.9 Surveillance data is analysed and appropriate corrective and preventive...</w:t>
      </w:r>
    </w:p>
    <w:p>
      <w:pPr>
        <w:spacing w:after="140"/>
      </w:pPr>
      <w:r>
        <w:rPr>
          <w:sz w:val="22"/>
          <w:szCs w:val="22"/>
        </w:rPr>
        <w:t xml:space="preserve">The «Infection Prevention and Control Committee» analyses surveillance data and assigns corrective and preventive action with owners and due dates. The «Infection Prevention and Control Officer» tracks closure.</w:t>
      </w:r>
    </w:p>
    <w:p>
      <w:pPr>
        <w:spacing w:after="140"/>
      </w:pPr>
      <w:r>
        <w:rPr>
          <w:sz w:val="22"/>
          <w:szCs w:val="22"/>
        </w:rPr>
        <w:t xml:space="preserve">Analysis without action is not this element.</w:t>
      </w:r>
    </w:p>
    <w:p>
      <w:pPr>
        <w:spacing w:after="140"/>
      </w:pPr>
      <w:r>
        <w:rPr>
          <w:sz w:val="22"/>
          <w:szCs w:val="22"/>
        </w:rPr>
        <w:t xml:space="preserve">Method note (from guidebook interpretation): The Infection Prevention and Control Committee analyses the surveillance data and based on this corrective and preventive actions are taken where necessary. This also includes taking appropriate corrective actions to prevent recurrence after an outbreak, Standard . IPC.7. Infection prevention measures include sterilisation and / or disinfection of instruments, equipment and devices. Objective Elements.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IPC.6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Infection Prevention and Control Surveillance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IPC.6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Preview Hospital: Infection Prevention and Control Manual, antimicrobial policy, BMW and housekeeping procedures, CSSD sterilisation records, occupational-health and PEP guidance named for IPC.6.</w:t>
      </w:r>
    </w:p>
    <w:p>
      <w:pPr>
        <w:pStyle w:val="Heading1"/>
        <w:spacing w:after="120" w:before="280"/>
      </w:pPr>
      <w:r>
        <w:t xml:space="preserve">10.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IPC.6</w:t>
      </w:r>
    </w:p>
    <w:p>
      <w:pPr>
        <w:pStyle w:val="Heading1"/>
        <w:spacing w:after="120" w:before="280"/>
      </w:pPr>
      <w:r>
        <w:t xml:space="preserve">11.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12. Traceability to NABH HCO Full Accreditation 6th Edition IPC.6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scope of surveillance incorporates tracking and analysing of infection risks, rates and trends.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Verification of data is done regularly by the infection prevention and control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is directed towards the identified high-risk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monitoring compliance with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mechanisms to capture the occurrence of multi-drug- resistant organisms.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monitoring the effectiveness of housekeeping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regarding surveillance data is provided regularly to the appropriate health care provider.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takes appropriate action to control outbreaks of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data is analysed and appropriate corrective and preventive actions are taken.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IPC.6.a — The scope of surveillance incorporates tracking and analysing of infection risks, rates and trends.</w:t>
      </w:r>
    </w:p>
    <w:p>
      <w:pPr>
        <w:pStyle w:val="ListParagraph"/>
        <w:numPr>
          <w:ilvl w:val="0"/>
          <w:numId w:val="1"/>
        </w:numPr>
        <w:spacing w:after="60"/>
      </w:pPr>
      <w:r>
        <w:rPr>
          <w:sz w:val="22"/>
          <w:szCs w:val="22"/>
        </w:rPr>
        <w:t xml:space="preserve">Written surveillance scope naming tracked HAIs, processes and denominator rules.</w:t>
      </w:r>
    </w:p>
    <w:p>
      <w:pPr>
        <w:pStyle w:val="ListParagraph"/>
        <w:numPr>
          <w:ilvl w:val="0"/>
          <w:numId w:val="1"/>
        </w:numPr>
        <w:spacing w:after="60"/>
      </w:pPr>
      <w:r>
        <w:rPr>
          <w:sz w:val="22"/>
          <w:szCs w:val="22"/>
        </w:rPr>
        <w:t xml:space="preserve">Monthly rate-compilation record by the IPC Nurse.</w:t>
      </w:r>
    </w:p>
    <w:p>
      <w:pPr>
        <w:pStyle w:val="ListParagraph"/>
        <w:numPr>
          <w:ilvl w:val="0"/>
          <w:numId w:val="1"/>
        </w:numPr>
        <w:spacing w:after="60"/>
      </w:pPr>
      <w:r>
        <w:rPr>
          <w:sz w:val="22"/>
          <w:szCs w:val="22"/>
        </w:rPr>
        <w:t xml:space="preserve">IPC Committee presentation record.</w:t>
      </w:r>
    </w:p>
    <w:p>
      <w:pPr>
        <w:pStyle w:val="Heading2"/>
        <w:spacing w:after="100" w:before="220"/>
      </w:pPr>
      <w:r>
        <w:t xml:space="preserve">IPC.6.b — Verification of data is done regularly by the infection prevention and control team.</w:t>
      </w:r>
    </w:p>
    <w:p>
      <w:pPr>
        <w:pStyle w:val="ListParagraph"/>
        <w:numPr>
          <w:ilvl w:val="0"/>
          <w:numId w:val="1"/>
        </w:numPr>
        <w:spacing w:after="60"/>
      </w:pPr>
      <w:r>
        <w:rPr>
          <w:sz w:val="22"/>
          <w:szCs w:val="22"/>
        </w:rPr>
        <w:t xml:space="preserve">Case-level or sample verification record before rates are issued.</w:t>
      </w:r>
    </w:p>
    <w:p>
      <w:pPr>
        <w:pStyle w:val="ListParagraph"/>
        <w:numPr>
          <w:ilvl w:val="0"/>
          <w:numId w:val="1"/>
        </w:numPr>
        <w:spacing w:after="60"/>
      </w:pPr>
      <w:r>
        <w:rPr>
          <w:sz w:val="22"/>
          <w:szCs w:val="22"/>
        </w:rPr>
        <w:t xml:space="preserve">IPC Officer's monthly verification sign-off.</w:t>
      </w:r>
    </w:p>
    <w:p>
      <w:pPr>
        <w:pStyle w:val="ListParagraph"/>
        <w:numPr>
          <w:ilvl w:val="0"/>
          <w:numId w:val="1"/>
        </w:numPr>
        <w:spacing w:after="60"/>
      </w:pPr>
      <w:r>
        <w:rPr>
          <w:sz w:val="22"/>
          <w:szCs w:val="22"/>
        </w:rPr>
        <w:t xml:space="preserve">Confirmation unverified counts were not issued as official rates.</w:t>
      </w:r>
    </w:p>
    <w:p>
      <w:pPr>
        <w:pStyle w:val="Heading2"/>
        <w:spacing w:after="100" w:before="220"/>
      </w:pPr>
      <w:r>
        <w:t xml:space="preserve">IPC.6.c — Surveillance is directed towards the identified high-risk activities.</w:t>
      </w:r>
    </w:p>
    <w:p>
      <w:pPr>
        <w:pStyle w:val="ListParagraph"/>
        <w:numPr>
          <w:ilvl w:val="0"/>
          <w:numId w:val="1"/>
        </w:numPr>
        <w:spacing w:after="60"/>
      </w:pPr>
      <w:r>
        <w:rPr>
          <w:sz w:val="22"/>
          <w:szCs w:val="22"/>
        </w:rPr>
        <w:t xml:space="preserve">Surveillance record specific to each identified high-risk activity (OT, ICU, dialysis, CSSD, etc.).</w:t>
      </w:r>
    </w:p>
    <w:p>
      <w:pPr>
        <w:pStyle w:val="ListParagraph"/>
        <w:numPr>
          <w:ilvl w:val="0"/>
          <w:numId w:val="1"/>
        </w:numPr>
        <w:spacing w:after="60"/>
      </w:pPr>
      <w:r>
        <w:rPr>
          <w:sz w:val="22"/>
          <w:szCs w:val="22"/>
        </w:rPr>
        <w:t xml:space="preserve">High-risk-area breakout in the surveillance report.</w:t>
      </w:r>
    </w:p>
    <w:p>
      <w:pPr>
        <w:pStyle w:val="ListParagraph"/>
        <w:numPr>
          <w:ilvl w:val="0"/>
          <w:numId w:val="1"/>
        </w:numPr>
        <w:spacing w:after="60"/>
      </w:pPr>
      <w:r>
        <w:rPr>
          <w:sz w:val="22"/>
          <w:szCs w:val="22"/>
        </w:rPr>
        <w:t xml:space="preserve">Cross-reference to the IPC.1.b high-risk-activity list.</w:t>
      </w:r>
    </w:p>
    <w:p>
      <w:pPr>
        <w:pStyle w:val="Heading2"/>
        <w:spacing w:after="100" w:before="220"/>
      </w:pPr>
      <w:r>
        <w:t xml:space="preserve">IPC.6.d — Surveillance includes monitoring compliance with hand-hygiene guidelines.</w:t>
      </w:r>
    </w:p>
    <w:p>
      <w:pPr>
        <w:pStyle w:val="ListParagraph"/>
        <w:numPr>
          <w:ilvl w:val="0"/>
          <w:numId w:val="1"/>
        </w:numPr>
        <w:spacing w:after="60"/>
      </w:pPr>
      <w:r>
        <w:rPr>
          <w:sz w:val="22"/>
          <w:szCs w:val="22"/>
        </w:rPr>
        <w:t xml:space="preserve">Monthly hand-hygiene-compliance monitoring record across staff categories.</w:t>
      </w:r>
    </w:p>
    <w:p>
      <w:pPr>
        <w:pStyle w:val="ListParagraph"/>
        <w:numPr>
          <w:ilvl w:val="0"/>
          <w:numId w:val="1"/>
        </w:numPr>
        <w:spacing w:after="60"/>
      </w:pPr>
      <w:r>
        <w:rPr>
          <w:sz w:val="22"/>
          <w:szCs w:val="22"/>
        </w:rPr>
        <w:t xml:space="preserve">Results record shared with the IPC Committee and the units.</w:t>
      </w:r>
    </w:p>
    <w:p>
      <w:pPr>
        <w:pStyle w:val="ListParagraph"/>
        <w:numPr>
          <w:ilvl w:val="0"/>
          <w:numId w:val="1"/>
        </w:numPr>
        <w:spacing w:after="60"/>
      </w:pPr>
      <w:r>
        <w:rPr>
          <w:sz w:val="22"/>
          <w:szCs w:val="22"/>
        </w:rPr>
        <w:t xml:space="preserve">Sample-size and methodology record.</w:t>
      </w:r>
    </w:p>
    <w:p>
      <w:pPr>
        <w:pStyle w:val="Heading2"/>
        <w:spacing w:after="100" w:before="220"/>
      </w:pPr>
      <w:r>
        <w:t xml:space="preserve">IPC.6.e — Surveillance includes mechanisms to capture the occurrence of multi-drug- resistant organisms.</w:t>
      </w:r>
    </w:p>
    <w:p>
      <w:pPr>
        <w:pStyle w:val="ListParagraph"/>
        <w:numPr>
          <w:ilvl w:val="0"/>
          <w:numId w:val="1"/>
        </w:numPr>
        <w:spacing w:after="60"/>
      </w:pPr>
      <w:r>
        <w:rPr>
          <w:sz w:val="22"/>
          <w:szCs w:val="22"/>
        </w:rPr>
        <w:t xml:space="preserve">Multi-drug-resistant-organism capture log (for example MRSA, VRE, carbapenem-resistant Enterobacterales) from microbiology reports.</w:t>
      </w:r>
    </w:p>
    <w:p>
      <w:pPr>
        <w:pStyle w:val="ListParagraph"/>
        <w:numPr>
          <w:ilvl w:val="0"/>
          <w:numId w:val="1"/>
        </w:numPr>
        <w:spacing w:after="60"/>
      </w:pPr>
      <w:r>
        <w:rPr>
          <w:sz w:val="22"/>
          <w:szCs w:val="22"/>
        </w:rPr>
        <w:t xml:space="preserve">Same-working-day alert record from the Microbiologist to the IPC Nurse.</w:t>
      </w:r>
    </w:p>
    <w:p>
      <w:pPr>
        <w:pStyle w:val="ListParagraph"/>
        <w:numPr>
          <w:ilvl w:val="0"/>
          <w:numId w:val="1"/>
        </w:numPr>
        <w:spacing w:after="60"/>
      </w:pPr>
      <w:r>
        <w:rPr>
          <w:sz w:val="22"/>
          <w:szCs w:val="22"/>
        </w:rPr>
        <w:t xml:space="preserve">Infection-versus-colonisation distinction record.</w:t>
      </w:r>
    </w:p>
    <w:p>
      <w:pPr>
        <w:pStyle w:val="Heading2"/>
        <w:spacing w:after="100" w:before="220"/>
      </w:pPr>
      <w:r>
        <w:t xml:space="preserve">IPC.6.f — Surveillance includes monitoring the effectiveness of housekeeping services.</w:t>
      </w:r>
    </w:p>
    <w:p>
      <w:pPr>
        <w:pStyle w:val="ListParagraph"/>
        <w:numPr>
          <w:ilvl w:val="0"/>
          <w:numId w:val="1"/>
        </w:numPr>
        <w:spacing w:after="60"/>
      </w:pPr>
      <w:r>
        <w:rPr>
          <w:sz w:val="22"/>
          <w:szCs w:val="22"/>
        </w:rPr>
        <w:t xml:space="preserve">Housekeeping-effectiveness monitoring record (visual, fluorescent marker or ATP as chosen) in high-risk and public areas.</w:t>
      </w:r>
    </w:p>
    <w:p>
      <w:pPr>
        <w:pStyle w:val="ListParagraph"/>
        <w:numPr>
          <w:ilvl w:val="0"/>
          <w:numId w:val="1"/>
        </w:numPr>
        <w:spacing w:after="60"/>
      </w:pPr>
      <w:r>
        <w:rPr>
          <w:sz w:val="22"/>
          <w:szCs w:val="22"/>
        </w:rPr>
        <w:t xml:space="preserve">Results record shared with housekeeping and the IPC Committee.</w:t>
      </w:r>
    </w:p>
    <w:p>
      <w:pPr>
        <w:pStyle w:val="ListParagraph"/>
        <w:numPr>
          <w:ilvl w:val="0"/>
          <w:numId w:val="1"/>
        </w:numPr>
        <w:spacing w:after="60"/>
      </w:pPr>
      <w:r>
        <w:rPr>
          <w:sz w:val="22"/>
          <w:szCs w:val="22"/>
        </w:rPr>
        <w:t xml:space="preserve">Retraining or method-change record for repeat failures.</w:t>
      </w:r>
    </w:p>
    <w:p>
      <w:pPr>
        <w:pStyle w:val="Heading2"/>
        <w:spacing w:after="100" w:before="220"/>
      </w:pPr>
      <w:r>
        <w:t xml:space="preserve">IPC.6.g — Feedback regarding surveillance data is provided regularly to the appropriate health care provider.</w:t>
      </w:r>
    </w:p>
    <w:p>
      <w:pPr>
        <w:pStyle w:val="ListParagraph"/>
        <w:numPr>
          <w:ilvl w:val="0"/>
          <w:numId w:val="1"/>
        </w:numPr>
        <w:spacing w:after="60"/>
      </w:pPr>
      <w:r>
        <w:rPr>
          <w:sz w:val="22"/>
          <w:szCs w:val="22"/>
        </w:rPr>
        <w:t xml:space="preserve">Surveillance-feedback distribution record (adherence rates, HAI rates, trends) to unit in-charges and treating doctors.</w:t>
      </w:r>
    </w:p>
    <w:p>
      <w:pPr>
        <w:pStyle w:val="ListParagraph"/>
        <w:numPr>
          <w:ilvl w:val="0"/>
          <w:numId w:val="1"/>
        </w:numPr>
        <w:spacing w:after="60"/>
      </w:pPr>
      <w:r>
        <w:rPr>
          <w:sz w:val="22"/>
          <w:szCs w:val="22"/>
        </w:rPr>
        <w:t xml:space="preserve">Dated feedback log kept by the IPC Nurse.</w:t>
      </w:r>
    </w:p>
    <w:p>
      <w:pPr>
        <w:pStyle w:val="ListParagraph"/>
        <w:numPr>
          <w:ilvl w:val="0"/>
          <w:numId w:val="1"/>
        </w:numPr>
        <w:spacing w:after="60"/>
      </w:pPr>
      <w:r>
        <w:rPr>
          <w:sz w:val="22"/>
          <w:szCs w:val="22"/>
        </w:rPr>
        <w:t xml:space="preserve">Confirmation feedback reached providers, not only the IPC office.</w:t>
      </w:r>
    </w:p>
    <w:p>
      <w:pPr>
        <w:pStyle w:val="Heading2"/>
        <w:spacing w:after="100" w:before="220"/>
      </w:pPr>
      <w:r>
        <w:t xml:space="preserve">IPC.6.h — The organisation identifies and takes appropriate action to control outbreaks of infections.</w:t>
      </w:r>
    </w:p>
    <w:p>
      <w:pPr>
        <w:pStyle w:val="ListParagraph"/>
        <w:numPr>
          <w:ilvl w:val="0"/>
          <w:numId w:val="1"/>
        </w:numPr>
        <w:spacing w:after="60"/>
      </w:pPr>
      <w:r>
        <w:rPr>
          <w:sz w:val="22"/>
          <w:szCs w:val="22"/>
        </w:rPr>
        <w:t xml:space="preserve">Written outbreak definition using baseline rates.</w:t>
      </w:r>
    </w:p>
    <w:p>
      <w:pPr>
        <w:pStyle w:val="ListParagraph"/>
        <w:numPr>
          <w:ilvl w:val="0"/>
          <w:numId w:val="1"/>
        </w:numPr>
        <w:spacing w:after="60"/>
      </w:pPr>
      <w:r>
        <w:rPr>
          <w:sz w:val="22"/>
          <w:szCs w:val="22"/>
        </w:rPr>
        <w:t xml:space="preserve">Outbreak-response record — isolation/cohorting, communication, statutory-agency contact.</w:t>
      </w:r>
    </w:p>
    <w:p>
      <w:pPr>
        <w:pStyle w:val="ListParagraph"/>
        <w:numPr>
          <w:ilvl w:val="0"/>
          <w:numId w:val="1"/>
        </w:numPr>
        <w:spacing w:after="60"/>
      </w:pPr>
      <w:r>
        <w:rPr>
          <w:sz w:val="22"/>
          <w:szCs w:val="22"/>
        </w:rPr>
        <w:t xml:space="preserve">Escalation record for any delay in declaring an outbreak once the definition was met.</w:t>
      </w:r>
    </w:p>
    <w:p>
      <w:pPr>
        <w:pStyle w:val="Heading2"/>
        <w:spacing w:after="100" w:before="220"/>
      </w:pPr>
      <w:r>
        <w:t xml:space="preserve">IPC.6.i — Surveillance data is analysed and appropriate corrective and preventive actions are taken.</w:t>
      </w:r>
    </w:p>
    <w:p>
      <w:pPr>
        <w:pStyle w:val="ListParagraph"/>
        <w:numPr>
          <w:ilvl w:val="0"/>
          <w:numId w:val="1"/>
        </w:numPr>
        <w:spacing w:after="60"/>
      </w:pPr>
      <w:r>
        <w:rPr>
          <w:sz w:val="22"/>
          <w:szCs w:val="22"/>
        </w:rPr>
        <w:t xml:space="preserve">IPC Committee analysis record of surveillance data.</w:t>
      </w:r>
    </w:p>
    <w:p>
      <w:pPr>
        <w:pStyle w:val="ListParagraph"/>
        <w:numPr>
          <w:ilvl w:val="0"/>
          <w:numId w:val="1"/>
        </w:numPr>
        <w:spacing w:after="60"/>
      </w:pPr>
      <w:r>
        <w:rPr>
          <w:sz w:val="22"/>
          <w:szCs w:val="22"/>
        </w:rPr>
        <w:t xml:space="preserve">CAPA record with owner and due date.</w:t>
      </w:r>
    </w:p>
    <w:p>
      <w:pPr>
        <w:pStyle w:val="ListParagraph"/>
        <w:numPr>
          <w:ilvl w:val="0"/>
          <w:numId w:val="1"/>
        </w:numPr>
        <w:spacing w:after="60"/>
      </w:pPr>
      <w:r>
        <w:rPr>
          <w:sz w:val="22"/>
          <w:szCs w:val="22"/>
        </w:rPr>
        <w:t xml:space="preserve">Closure-tracking record by the IPC Officer.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«HCO/IPC/POL/06»  |  Controlled document  |  Infection Prevention and Control Surveillance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2026-08-21T14:56:33.587Z</dcterms:created>
  <dcterms:modified xsi:type="dcterms:W3CDTF">2026-08-21T14:56:33.589Z</dcterms:modified>
</cp:coreProperties>
</file>

<file path=docProps/custom.xml><?xml version="1.0" encoding="utf-8"?>
<Properties xmlns="http://schemas.openxmlformats.org/officeDocument/2006/custom-properties" xmlns:vt="http://schemas.openxmlformats.org/officeDocument/2006/docPropsVTypes"/>
</file>