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Incident Collection and Analysis</w:t>
      </w:r>
    </w:p>
    <w:p>
      <w:pPr>
        <w:spacing w:after="240"/>
        <w:jc w:val="center"/>
      </w:pPr>
      <w:r>
        <w:rPr>
          <w:i/>
          <w:iCs/>
          <w:sz w:val="20"/>
          <w:szCs w:val="20"/>
        </w:rPr>
        <w:t xml:space="preserve">HCO Full Accreditation, 6th Edition — PSQ.7.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«HCO/PSQ/POL/07»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Incidents are collected and analysed to ensure continual quality improvement.</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PSQ.7: Incidents are collected and analysed to ensure continual quality improvement.</w:t>
      </w:r>
    </w:p>
    <w:p>
      <w:pPr>
        <w:spacing w:after="140"/>
      </w:pPr>
      <w:r>
        <w:rPr>
          <w:sz w:val="22"/>
          <w:szCs w:val="22"/>
        </w:rPr>
        <w:t xml:space="preserve">This policy covers all 6 requirements under this standard, listed in detail below.</w:t>
      </w:r>
    </w:p>
    <w:p>
      <w:pPr>
        <w:spacing w:after="140"/>
      </w:pPr>
      <w:r>
        <w:rPr>
          <w:sz w:val="22"/>
          <w:szCs w:val="22"/>
        </w:rPr>
        <w:t xml:space="preserve">Chapter intent (official Standards PDF): The standards encourage an environment of patient safety and continual quality improvement. The patient safety and quality programme should be documented and involve all areas of the organisation and all staff members. The management creates a culture of safety in the organisation. Patient safety officer(s) shall be designated for the implementation of patient-safety programme. National / International patient-safety goals / solutions / framework shall be implemented. The organisation shall collect data on structures, processes and outcomes, especially in areas of high-risk situations. Quality indicators specific to clinical specialities shall be used to involve clinical departments in the quality improvement programme. The collected data shall be collated, analysed and trends are used for further improvement. Appropriate quality tools shall be used for carrying out quality improvement projects. Clinical audits shall be used as a tool to improve the quality of patient care in a sustained manner. Department leaders play an active role in patient safety and quality improvement. The organisation has a mechanism to capture patient reported outcome measures. The organisation shall have a robust incident reporting system. Sentinel events shall be defined. All incidents are investigated and appropriate action is taken. The management shall support the patient safety and quality programme.</w:t>
      </w:r>
    </w:p>
    <w:p>
      <w:pPr>
        <w:spacing w:after="140"/>
      </w:pPr>
      <w:r>
        <w:rPr>
          <w:sz w:val="22"/>
          <w:szCs w:val="22"/>
        </w:rPr>
        <w:t xml:space="preserve">This policy covers incident collection and analysis specifically. Related duties — like patient assessment, clinical care, medication management, patient rights, or infection control — are covered in the hospital's other policies, not repeated here. Other PSQ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care, run quality or patient-safety work, lead departments, or hold management duties for safety and quality at Preview Hospital, including the «Patient Safety Officer», the Patient Safety Officer, the Quality Coordinator, departmental leaders, treating doctors, nursing and the Medical Superintendent.</w:t>
      </w:r>
    </w:p>
    <w:p>
      <w:pPr>
        <w:spacing w:after="140"/>
      </w:pPr>
      <w:r>
        <w:rPr>
          <w:sz w:val="22"/>
          <w:szCs w:val="22"/>
        </w:rPr>
        <w:t xml:space="preserve">This policy covers all 6 requirements under this standard, listed in detail below.</w:t>
      </w:r>
    </w:p>
    <w:p>
      <w:pPr>
        <w:spacing w:after="140"/>
      </w:pPr>
      <w:r>
        <w:rPr>
          <w:sz w:val="22"/>
          <w:szCs w:val="22"/>
        </w:rPr>
        <w:t xml:space="preserve">This policy covers incident collection and analysis specifically. Related duties — like patient assessment, clinical care, medication management, patient rights, or infection control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PSQ.7 so that incidents are collected and analysed to ensure continual quality improvement.</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implements an incident management system.</w:t>
      </w:r>
    </w:p>
    <w:p>
      <w:pPr>
        <w:spacing w:after="80"/>
      </w:pPr>
      <w:r>
        <w:rPr>
          <w:sz w:val="22"/>
          <w:szCs w:val="22"/>
        </w:rPr>
        <w:t xml:space="preserve">2. Do not skip: The organisation has a mechanism to identify sentinel events.</w:t>
      </w:r>
    </w:p>
    <w:p>
      <w:pPr>
        <w:spacing w:after="80"/>
      </w:pPr>
      <w:r>
        <w:rPr>
          <w:sz w:val="22"/>
          <w:szCs w:val="22"/>
        </w:rPr>
        <w:t xml:space="preserve">3. Do not skip: The organisation has established processes for analysis of incidents.</w:t>
      </w:r>
    </w:p>
    <w:p>
      <w:pPr>
        <w:spacing w:after="80"/>
      </w:pPr>
      <w:r>
        <w:rPr>
          <w:sz w:val="22"/>
          <w:szCs w:val="22"/>
        </w:rPr>
        <w:t xml:space="preserve">4. Do not skip: Corrective and preventive actions are taken based on the findings of such analysis.</w:t>
      </w:r>
    </w:p>
    <w:p>
      <w:pPr>
        <w:spacing w:after="80"/>
      </w:pPr>
      <w:r>
        <w:rPr>
          <w:sz w:val="22"/>
          <w:szCs w:val="22"/>
        </w:rPr>
        <w:t xml:space="preserve">5. Do not skip: The organisation incorporates risks identified in the analysis of incidents into the risk management system.</w:t>
      </w:r>
    </w:p>
    <w:p>
      <w:pPr>
        <w:spacing w:after="80"/>
      </w:pPr>
      <w:r>
        <w:rPr>
          <w:sz w:val="22"/>
          <w:szCs w:val="22"/>
        </w:rPr>
        <w:t xml:space="preserve">6. Do not skip: The organisation shall have a process for informing various stakeholders in case of a near miss / adverse...</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PSQ.7 rule broken report it the same shift to the «department in-charge» or the «Patient Safety Officer» / «Quality Coordinator».</w:t>
      </w:r>
    </w:p>
    <w:p>
      <w:pPr>
        <w:pStyle w:val="Heading1"/>
        <w:spacing w:after="120" w:before="280"/>
      </w:pPr>
      <w:r>
        <w:t xml:space="preserve">5. What we do</w:t>
      </w:r>
    </w:p>
    <w:p>
      <w:pPr>
        <w:pStyle w:val="Heading2"/>
        <w:spacing w:after="100" w:before="220"/>
      </w:pPr>
      <w:r>
        <w:t xml:space="preserve">5.1 The organisation implements an incident management system</w:t>
      </w:r>
    </w:p>
    <w:p>
      <w:pPr>
        <w:spacing w:after="140"/>
      </w:pPr>
      <w:r>
        <w:rPr>
          <w:sz w:val="22"/>
          <w:szCs w:val="22"/>
        </w:rPr>
        <w:t xml:space="preserve">Preview Hospital implements an incident management system covering identification, reporting, review and action. The system supports factual reporting and learning and is based on just culture. All incidents are captured without first filtering by severity or harm.</w:t>
      </w:r>
    </w:p>
    <w:p>
      <w:pPr>
        <w:spacing w:after="140"/>
      </w:pPr>
      <w:r>
        <w:rPr>
          <w:sz w:val="22"/>
          <w:szCs w:val="22"/>
        </w:rPr>
        <w:t xml:space="preserve">Written guidance, the reporting channel (form / digital), and who receives reports sit in the manual. The path is simple, clear, confidential and focused on process improvement. This CORE asterisked element is not met by a complaints box alone.</w:t>
      </w:r>
    </w:p>
    <w:p>
      <w:pPr>
        <w:spacing w:after="140"/>
      </w:pPr>
      <w:r>
        <w:rPr>
          <w:sz w:val="22"/>
          <w:szCs w:val="22"/>
        </w:rPr>
        <w:t xml:space="preserve">Method note (from guidebook interpretation): The incident management system includes: * identification * reporting * review * action on incidents This system supports factual reporting and learning and is based on the principle of just culture. The organisation shall have a mechanism for reporting the occurrence of incidents on standardised incident report forms. It is preferable that the reporting system is simple (a few steps), clear (what needs to be reported, how to report, and to whom), confidential, and focused on process improvement. While capturing the incidents, the organisation shall capture all incidents without going into the severity or whether harm was caused.</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organisation has a mechanism to identify sentinel events</w:t>
      </w:r>
    </w:p>
    <w:p>
      <w:pPr>
        <w:spacing w:after="140"/>
      </w:pPr>
      <w:r>
        <w:rPr>
          <w:sz w:val="22"/>
          <w:szCs w:val="22"/>
        </w:rPr>
        <w:t xml:space="preserve">The organisation has a written mechanism to identify sentinel events: definition, examples for this hospital's scope, and who must be told immediately (default: «Patient Safety Officer» and «Medical Superintendent»).</w:t>
      </w:r>
    </w:p>
    <w:p>
      <w:pPr>
        <w:spacing w:after="140"/>
      </w:pPr>
      <w:r>
        <w:rPr>
          <w:sz w:val="22"/>
          <w:szCs w:val="22"/>
        </w:rPr>
        <w:t xml:space="preserve">Recognised sentinel events are flagged in the incident system the same shift. Skipping identification or reporting is a stop-work trigger (section 6). This is an asterisked element.</w:t>
      </w:r>
    </w:p>
    <w:p>
      <w:pPr>
        <w:spacing w:after="140"/>
      </w:pPr>
      <w:r>
        <w:rPr>
          <w:sz w:val="22"/>
          <w:szCs w:val="22"/>
        </w:rPr>
        <w:t xml:space="preserve">Method note (from guidebook interpretation): The sentinel events relating to system or process deficiencies that are relevant and important to the organisation must be clearly defined. The list of the identified and relevant sentinel events shall be documented. Refer to the glossary for a definition of "sentinel events".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The organisation has established processes for analysis of incidents</w:t>
      </w:r>
    </w:p>
    <w:p>
      <w:pPr>
        <w:spacing w:after="140"/>
      </w:pPr>
      <w:r>
        <w:rPr>
          <w:sz w:val="22"/>
          <w:szCs w:val="22"/>
        </w:rPr>
        <w:t xml:space="preserve">Established processes analyse incidents: the «Patient Safety Committee» is responsible; root-cause analysis is preferred; inputs are sought from the units concerned.</w:t>
      </w:r>
    </w:p>
    <w:p>
      <w:pPr>
        <w:spacing w:after="140"/>
      </w:pPr>
      <w:r>
        <w:rPr>
          <w:sz w:val="22"/>
          <w:szCs w:val="22"/>
        </w:rPr>
        <w:t xml:space="preserve">The immediate response is urgent care and support for those involved — that does not wait for analysis. For sentinel events, correction (if any) is initiated within «24 working hours» of occurrence or reporting, and analysis is completed within «seven working days» of occurrence or reporting. The «Patient Safety Officer» tracks open analyses.</w:t>
      </w:r>
    </w:p>
    <w:p>
      <w:pPr>
        <w:spacing w:after="140"/>
      </w:pPr>
      <w:r>
        <w:rPr>
          <w:sz w:val="22"/>
          <w:szCs w:val="22"/>
        </w:rPr>
        <w:t xml:space="preserve">Method note (from guidebook interpretation): The safety committee (Refer to PSQ.1.a.) shall be responsible for this activity. This could preferably be done by identifying the root cause. Inputs could be sought from the units/discipline/departments concerned. Where possible, patients and other stakeholders could be included in analysing the feedback and complaint. The immediate response to a safety incident shall be to address the urgent care and support needs of those involved. This shall not await analysis. In case of sentinel events, correction if any shall be initiated within 24-working hours of occurrence or reporting. The analysis of sentinel events shall be completed within seven working days of occurrence or reporting. z.</w:t>
      </w:r>
    </w:p>
    <w:p>
      <w:pPr>
        <w:pStyle w:val="Heading2"/>
        <w:spacing w:after="100" w:before="220"/>
      </w:pPr>
      <w:r>
        <w:t xml:space="preserve">5.4 Corrective and preventive actions are taken based on the findings of...</w:t>
      </w:r>
    </w:p>
    <w:p>
      <w:pPr>
        <w:spacing w:after="140"/>
      </w:pPr>
      <w:r>
        <w:rPr>
          <w:sz w:val="22"/>
          <w:szCs w:val="22"/>
        </w:rPr>
        <w:t xml:space="preserve">Corrective and preventive actions are taken from analysis findings. Actions have owners, due dates and a later effectiveness check.</w:t>
      </w:r>
    </w:p>
    <w:p>
      <w:pPr>
        <w:spacing w:after="140"/>
      </w:pPr>
      <w:r>
        <w:rPr>
          <w:sz w:val="22"/>
          <w:szCs w:val="22"/>
        </w:rPr>
        <w:t xml:space="preserve">Findings and recommendations are communicated to the personnel concerned. Continuing a process that analysis showed caused a sentinel event, before agreed controls are in place, is a stop-work trigger (section 6) except immediate life-saving care.</w:t>
      </w:r>
    </w:p>
    <w:p>
      <w:pPr>
        <w:spacing w:after="140"/>
      </w:pPr>
      <w:r>
        <w:rPr>
          <w:sz w:val="22"/>
          <w:szCs w:val="22"/>
        </w:rPr>
        <w:t xml:space="preserve">Method note (from guidebook interpretation): The objective of this is to improve the quality of patient-care services continually. All such action shall be documented. The findings and recommendations arrived at after the analysis shall be communicated to all personnel concerned to correct the systems and processes to prevent recurrences. Any change in the policy or procedure is reflected as an amendment in the organisation’s documentation.</w:t>
      </w:r>
    </w:p>
    <w:p>
      <w:pPr>
        <w:pStyle w:val="Heading2"/>
        <w:spacing w:after="100" w:before="220"/>
      </w:pPr>
      <w:r>
        <w:t xml:space="preserve">5.5 The organisation incorporates risks identified in the analysis of...</w:t>
      </w:r>
    </w:p>
    <w:p>
      <w:pPr>
        <w:spacing w:after="140"/>
      </w:pPr>
      <w:r>
        <w:rPr>
          <w:sz w:val="22"/>
          <w:szCs w:val="22"/>
        </w:rPr>
        <w:t xml:space="preserve">Risks identified in incident analysis are incorporated into the organisation's risk-management system (risk register update, residual risk, owner).</w:t>
      </w:r>
    </w:p>
    <w:p>
      <w:pPr>
        <w:spacing w:after="140"/>
      </w:pPr>
      <w:r>
        <w:rPr>
          <w:sz w:val="22"/>
          <w:szCs w:val="22"/>
        </w:rPr>
        <w:t xml:space="preserve">The «Quality Coordinator» or risk owner files the update. A CAPA without a risk-register entry when a new or changed risk was found is incomplete under this Achievement element.</w:t>
      </w:r>
    </w:p>
    <w:p>
      <w:pPr>
        <w:spacing w:after="140"/>
      </w:pPr>
      <w:r>
        <w:rPr>
          <w:sz w:val="22"/>
          <w:szCs w:val="22"/>
        </w:rPr>
        <w:t xml:space="preserve">Method note (from guidebook interpretation): If the incident analysis reveals the presence of an unidentified risk, the same shall be subjected to risk management.</w:t>
      </w:r>
    </w:p>
    <w:p>
      <w:pPr>
        <w:pStyle w:val="Heading2"/>
        <w:spacing w:after="100" w:before="220"/>
      </w:pPr>
      <w:r>
        <w:t xml:space="preserve">5.6 The organisation shall have a process for informing various...</w:t>
      </w:r>
    </w:p>
    <w:p>
      <w:pPr>
        <w:spacing w:after="140"/>
      </w:pPr>
      <w:r>
        <w:rPr>
          <w:sz w:val="22"/>
          <w:szCs w:val="22"/>
        </w:rPr>
        <w:t xml:space="preserve">There is a written process for informing stakeholders after a near miss, adverse event or sentinel event: who is told (patient/family as the organisation defines, treating team, leadership, and external agencies when required), by whom, and within what time.</w:t>
      </w:r>
    </w:p>
    <w:p>
      <w:pPr>
        <w:spacing w:after="140"/>
      </w:pPr>
      <w:r>
        <w:rPr>
          <w:sz w:val="22"/>
          <w:szCs w:val="22"/>
        </w:rPr>
        <w:t xml:space="preserve">The «Patient Safety Officer» keeps a communication log for sentinel and defined serious events. This process sits beside, and does not replace, any statutory notification the hospital must make under other documents.</w:t>
      </w:r>
    </w:p>
    <w:p>
      <w:pPr>
        <w:spacing w:after="140"/>
      </w:pPr>
      <w:r>
        <w:rPr>
          <w:sz w:val="22"/>
          <w:szCs w:val="22"/>
        </w:rPr>
        <w:t xml:space="preserve">Method note (from guidebook interpretation): After due analysis, an incident could be termed as a near miss or adverse event or sentinel event. Based on the nature of the near miss or adverse event or sentinel event, the organisation shall inform the stakeholders (including patient and family where applicable) regarding the relevant concerns in addition to initiating the corrective and preventive action.</w:t>
      </w:r>
    </w:p>
    <w:p>
      <w:pPr>
        <w:pStyle w:val="Heading1"/>
        <w:spacing w:after="120" w:before="280"/>
      </w:pPr>
      <w:r>
        <w:t xml:space="preserve">6. Stop-work authority</w:t>
      </w:r>
    </w:p>
    <w:p>
      <w:pPr>
        <w:spacing w:after="140"/>
      </w:pPr>
      <w:r>
        <w:rPr>
          <w:sz w:val="22"/>
          <w:szCs w:val="22"/>
        </w:rPr>
        <w:t xml:space="preserve">Do not leave a sentinel event unidentified or unreported once it is recognised.</w:t>
      </w:r>
    </w:p>
    <w:p>
      <w:pPr>
        <w:spacing w:after="140"/>
      </w:pPr>
      <w:r>
        <w:rPr>
          <w:sz w:val="22"/>
          <w:szCs w:val="22"/>
        </w:rPr>
        <w:t xml:space="preserve">Do not skip the organisation's analysis of a sentinel event (or of another incident the written guidance requires to be analysed).</w:t>
      </w:r>
    </w:p>
    <w:p>
      <w:pPr>
        <w:spacing w:after="140"/>
      </w:pPr>
      <w:r>
        <w:rPr>
          <w:sz w:val="22"/>
          <w:szCs w:val="22"/>
        </w:rPr>
        <w:t xml:space="preserve">Do not continue a process that analysis has shown caused a sentinel event until the agreed corrective action is in place, except immediate life-saving care.</w:t>
      </w:r>
    </w:p>
    <w:p>
      <w:pPr>
        <w:spacing w:after="140"/>
      </w:pPr>
      <w:r>
        <w:rPr>
          <w:sz w:val="22"/>
          <w:szCs w:val="22"/>
        </w:rPr>
        <w:t xml:space="preserve">Stop-work applies to delay of identification, reporting or analysis, and to continuing the unsafe process. Immediate life-saving care continues with the best available controls and is documented.</w:t>
      </w:r>
    </w:p>
    <w:p>
      <w:pPr>
        <w:spacing w:after="140"/>
      </w:pPr>
      <w:r>
        <w:rPr>
          <w:sz w:val="22"/>
          <w:szCs w:val="22"/>
        </w:rPr>
        <w:t xml:space="preserve">The person who stops tells the «Patient Safety Officer» and the «Medical Superintendent» the same shift. Reporting a sentinel event or refusing to continue an unsafe process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PSQ.7 is resourced and followed.</w:t>
      </w:r>
    </w:p>
    <w:p>
      <w:pPr>
        <w:pStyle w:val="ListParagraph"/>
        <w:numPr>
          <w:ilvl w:val="0"/>
          <w:numId w:val="1"/>
        </w:numPr>
        <w:spacing w:after="60"/>
      </w:pPr>
      <w:r>
        <w:rPr>
          <w:sz w:val="22"/>
          <w:szCs w:val="22"/>
        </w:rPr>
        <w:t xml:space="preserve">Acts on sentinel events, safety-culture failures and quality-programme gaps that reach top leadership.</w:t>
      </w:r>
    </w:p>
    <w:p>
      <w:pPr>
        <w:spacing w:after="20" w:before="100"/>
      </w:pPr>
      <w:r>
        <w:rPr>
          <w:b/>
          <w:bCs/>
          <w:sz w:val="22"/>
          <w:szCs w:val="22"/>
        </w:rPr>
        <w:t xml:space="preserve">Patient Safety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Patient Safety Officer</w:t>
      </w:r>
    </w:p>
    <w:p>
      <w:pPr>
        <w:pStyle w:val="ListParagraph"/>
        <w:numPr>
          <w:ilvl w:val="0"/>
          <w:numId w:val="1"/>
        </w:numPr>
        <w:spacing w:after="60"/>
      </w:pPr>
      <w:r>
        <w:rPr>
          <w:sz w:val="22"/>
          <w:szCs w:val="22"/>
        </w:rPr>
        <w:t xml:space="preserve">Coordinates the patient-safety programme and incident/sentinel-event path across standards.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Coordinates the quality-improvement programme, indicators, audits and projects as this standard requires.</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Nursing Superintendent</w:t>
      </w:r>
    </w:p>
    <w:p>
      <w:pPr>
        <w:pStyle w:val="ListParagraph"/>
        <w:numPr>
          <w:ilvl w:val="0"/>
          <w:numId w:val="1"/>
        </w:numPr>
        <w:spacing w:after="60"/>
      </w:pPr>
      <w:r>
        <w:rPr>
          <w:sz w:val="22"/>
          <w:szCs w:val="22"/>
        </w:rPr>
        <w:t xml:space="preserve">Owns nursing-care quality monitoring where this standard requires it.</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sentinel event, indicator failure cluster or failed clinical-audit cycle.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Incident Collection and Analysis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Safety and Quality Improvement, standard PSQ.7.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PSQ.7 interpretations (source PDF md5 2c4489ee98de4ae9b49cba168ea9f42a; OCR policies/source/hco6_psq_guidebook_ocr.txt).</w:t>
      </w:r>
    </w:p>
    <w:p>
      <w:pPr>
        <w:pStyle w:val="ListParagraph"/>
        <w:numPr>
          <w:ilvl w:val="0"/>
          <w:numId w:val="1"/>
        </w:numPr>
        <w:spacing w:after="60"/>
      </w:pPr>
      <w:r>
        <w:rPr>
          <w:sz w:val="22"/>
          <w:szCs w:val="22"/>
        </w:rPr>
        <w:t xml:space="preserve">Internal documents of Preview Hospital: Patient Safety Manual, Quality Manual, indicator definitions, clinical-audit calendar, incident and sentinel-event guidance named for PSQ.7.</w:t>
      </w:r>
    </w:p>
    <w:p>
      <w:pPr>
        <w:pStyle w:val="Heading1"/>
        <w:spacing w:after="120" w:before="280"/>
      </w:pPr>
      <w:r>
        <w:t xml:space="preserve">11. Distribution</w:t>
      </w:r>
    </w:p>
    <w:p>
      <w:pPr>
        <w:spacing w:after="140"/>
      </w:pPr>
      <w:r>
        <w:rPr>
          <w:sz w:val="22"/>
          <w:szCs w:val="22"/>
        </w:rPr>
        <w:t xml:space="preserve">Medical Superintendent; Patient Safety Officer; Quality Coordinator; Nursing Superintendent; departmental leaders; department clinical and support staff covered by PSQ.7</w:t>
      </w:r>
    </w:p>
    <w:p>
      <w:pPr>
        <w:pStyle w:val="Heading1"/>
        <w:spacing w:after="120" w:before="280"/>
      </w:pPr>
      <w:r>
        <w:t xml:space="preserve">12. Abbreviations</w:t>
      </w:r>
    </w:p>
    <w:p>
      <w:pPr>
        <w:spacing w:after="140"/>
      </w:pPr>
      <w:r>
        <w:rPr>
          <w:sz w:val="22"/>
          <w:szCs w:val="22"/>
        </w:rPr>
        <w:t xml:space="preserve">CAPA — Corrective and Preventive Action
CORE — Core objective element (NABH)
FMEA — Failure Mode and Effects Analysis
HCO — Hospital (Full Accreditation programme under NABH Hospitals 6th Edition)
IPC — Infection Prevention and Control (NABH Hospitals 6th Edition chapter)
NABH — National Accreditation Board for Hospitals and Healthcare Providers
OE — Objective Element
PDCA — Plan-Do-Check-Act
PROM — Patient-Reported Outcome Measure
PSQ — Patient Safety and Quality Improvement (NABH Hospitals 6th Edition chapter)
WHO — World Health Organization</w:t>
      </w:r>
    </w:p>
    <w:p>
      <w:pPr>
        <w:pStyle w:val="Heading1"/>
        <w:spacing w:after="120" w:before="280"/>
      </w:pPr>
      <w:r>
        <w:t xml:space="preserve">13. Traceability to NABH HCO Full Accreditation 6th Edition PSQ.7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an incident management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identify sentinel events.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established processes for analysis of incidents.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 preventive actions are taken based on the findings of such analysis.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incorporates risks identified in the analysis of incidents into the risk management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PSQ.7.f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have a process for informing various stakeholders in case of a near miss / adverse event / sentinel event.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PSQ.7.a — The organisation implements an incident management system.</w:t>
      </w:r>
    </w:p>
    <w:p>
      <w:pPr>
        <w:pStyle w:val="ListParagraph"/>
        <w:numPr>
          <w:ilvl w:val="0"/>
          <w:numId w:val="1"/>
        </w:numPr>
        <w:spacing w:after="60"/>
      </w:pPr>
      <w:r>
        <w:rPr>
          <w:sz w:val="22"/>
          <w:szCs w:val="22"/>
        </w:rPr>
        <w:t xml:space="preserve">Written incident-management guidance covering identification, reporting, review and action.</w:t>
      </w:r>
    </w:p>
    <w:p>
      <w:pPr>
        <w:pStyle w:val="ListParagraph"/>
        <w:numPr>
          <w:ilvl w:val="0"/>
          <w:numId w:val="1"/>
        </w:numPr>
        <w:spacing w:after="60"/>
      </w:pPr>
      <w:r>
        <w:rPr>
          <w:sz w:val="22"/>
          <w:szCs w:val="22"/>
        </w:rPr>
        <w:t xml:space="preserve">Reporting-channel record (form or digital) and recipient list.</w:t>
      </w:r>
    </w:p>
    <w:p>
      <w:pPr>
        <w:pStyle w:val="ListParagraph"/>
        <w:numPr>
          <w:ilvl w:val="0"/>
          <w:numId w:val="1"/>
        </w:numPr>
        <w:spacing w:after="60"/>
      </w:pPr>
      <w:r>
        <w:rPr>
          <w:sz w:val="22"/>
          <w:szCs w:val="22"/>
        </w:rPr>
        <w:t xml:space="preserve">Sample of captured incidents showing all severities reported, not filtered by harm level.</w:t>
      </w:r>
    </w:p>
    <w:p>
      <w:pPr>
        <w:pStyle w:val="Heading2"/>
        <w:spacing w:after="100" w:before="220"/>
      </w:pPr>
      <w:r>
        <w:t xml:space="preserve">PSQ.7.b — The organisation has a mechanism to identify sentinel events.</w:t>
      </w:r>
    </w:p>
    <w:p>
      <w:pPr>
        <w:pStyle w:val="ListParagraph"/>
        <w:numPr>
          <w:ilvl w:val="0"/>
          <w:numId w:val="1"/>
        </w:numPr>
        <w:spacing w:after="60"/>
      </w:pPr>
      <w:r>
        <w:rPr>
          <w:sz w:val="22"/>
          <w:szCs w:val="22"/>
        </w:rPr>
        <w:t xml:space="preserve">Written sentinel-event definition and hospital-specific examples.</w:t>
      </w:r>
    </w:p>
    <w:p>
      <w:pPr>
        <w:pStyle w:val="ListParagraph"/>
        <w:numPr>
          <w:ilvl w:val="0"/>
          <w:numId w:val="1"/>
        </w:numPr>
        <w:spacing w:after="60"/>
      </w:pPr>
      <w:r>
        <w:rPr>
          <w:sz w:val="22"/>
          <w:szCs w:val="22"/>
        </w:rPr>
        <w:t xml:space="preserve">Same-shift flagging record in the incident system for a recognised sentinel event.</w:t>
      </w:r>
    </w:p>
    <w:p>
      <w:pPr>
        <w:pStyle w:val="ListParagraph"/>
        <w:numPr>
          <w:ilvl w:val="0"/>
          <w:numId w:val="1"/>
        </w:numPr>
        <w:spacing w:after="60"/>
      </w:pPr>
      <w:r>
        <w:rPr>
          <w:sz w:val="22"/>
          <w:szCs w:val="22"/>
        </w:rPr>
        <w:t xml:space="preserve">Notification record to the Patient Safety Officer and Medical Superintendent.</w:t>
      </w:r>
    </w:p>
    <w:p>
      <w:pPr>
        <w:pStyle w:val="Heading2"/>
        <w:spacing w:after="100" w:before="220"/>
      </w:pPr>
      <w:r>
        <w:t xml:space="preserve">PSQ.7.c — The organisation has established processes for analysis of incidents.</w:t>
      </w:r>
    </w:p>
    <w:p>
      <w:pPr>
        <w:pStyle w:val="ListParagraph"/>
        <w:numPr>
          <w:ilvl w:val="0"/>
          <w:numId w:val="1"/>
        </w:numPr>
        <w:spacing w:after="60"/>
      </w:pPr>
      <w:r>
        <w:rPr>
          <w:sz w:val="22"/>
          <w:szCs w:val="22"/>
        </w:rPr>
        <w:t xml:space="preserve">Root-cause-analysis record for a sampled incident, led by the Patient Safety Committee.</w:t>
      </w:r>
    </w:p>
    <w:p>
      <w:pPr>
        <w:pStyle w:val="ListParagraph"/>
        <w:numPr>
          <w:ilvl w:val="0"/>
          <w:numId w:val="1"/>
        </w:numPr>
        <w:spacing w:after="60"/>
      </w:pPr>
      <w:r>
        <w:rPr>
          <w:sz w:val="22"/>
          <w:szCs w:val="22"/>
        </w:rPr>
        <w:t xml:space="preserve">Timeliness record for sentinel events — correction within 24 working hours, analysis within 7 working days.</w:t>
      </w:r>
    </w:p>
    <w:p>
      <w:pPr>
        <w:pStyle w:val="ListParagraph"/>
        <w:numPr>
          <w:ilvl w:val="0"/>
          <w:numId w:val="1"/>
        </w:numPr>
        <w:spacing w:after="60"/>
      </w:pPr>
      <w:r>
        <w:rPr>
          <w:sz w:val="22"/>
          <w:szCs w:val="22"/>
        </w:rPr>
        <w:t xml:space="preserve">Open-analysis tracking log held by the Patient Safety Officer.</w:t>
      </w:r>
    </w:p>
    <w:p>
      <w:pPr>
        <w:pStyle w:val="Heading2"/>
        <w:spacing w:after="100" w:before="220"/>
      </w:pPr>
      <w:r>
        <w:t xml:space="preserve">PSQ.7.d — Corrective and preventive actions are taken based on the findings of such analysis.</w:t>
      </w:r>
    </w:p>
    <w:p>
      <w:pPr>
        <w:pStyle w:val="ListParagraph"/>
        <w:numPr>
          <w:ilvl w:val="0"/>
          <w:numId w:val="1"/>
        </w:numPr>
        <w:spacing w:after="60"/>
      </w:pPr>
      <w:r>
        <w:rPr>
          <w:sz w:val="22"/>
          <w:szCs w:val="22"/>
        </w:rPr>
        <w:t xml:space="preserve">CAPA record with owner, due date and effectiveness check.</w:t>
      </w:r>
    </w:p>
    <w:p>
      <w:pPr>
        <w:pStyle w:val="ListParagraph"/>
        <w:numPr>
          <w:ilvl w:val="0"/>
          <w:numId w:val="1"/>
        </w:numPr>
        <w:spacing w:after="60"/>
      </w:pPr>
      <w:r>
        <w:rPr>
          <w:sz w:val="22"/>
          <w:szCs w:val="22"/>
        </w:rPr>
        <w:t xml:space="preserve">Communication record to the personnel concerned.</w:t>
      </w:r>
    </w:p>
    <w:p>
      <w:pPr>
        <w:pStyle w:val="ListParagraph"/>
        <w:numPr>
          <w:ilvl w:val="0"/>
          <w:numId w:val="1"/>
        </w:numPr>
        <w:spacing w:after="60"/>
      </w:pPr>
      <w:r>
        <w:rPr>
          <w:sz w:val="22"/>
          <w:szCs w:val="22"/>
        </w:rPr>
        <w:t xml:space="preserve">Confirmation no process continued after analysis showed it caused a sentinel event, before controls were in place.</w:t>
      </w:r>
    </w:p>
    <w:p>
      <w:pPr>
        <w:pStyle w:val="Heading2"/>
        <w:spacing w:after="100" w:before="220"/>
      </w:pPr>
      <w:r>
        <w:t xml:space="preserve">PSQ.7.e — The organisation incorporates risks identified in the analysis of incidents into the risk management system.</w:t>
      </w:r>
    </w:p>
    <w:p>
      <w:pPr>
        <w:pStyle w:val="ListParagraph"/>
        <w:numPr>
          <w:ilvl w:val="0"/>
          <w:numId w:val="1"/>
        </w:numPr>
        <w:spacing w:after="60"/>
      </w:pPr>
      <w:r>
        <w:rPr>
          <w:sz w:val="22"/>
          <w:szCs w:val="22"/>
        </w:rPr>
        <w:t xml:space="preserve">Risk-register update record from incident-analysis findings.</w:t>
      </w:r>
    </w:p>
    <w:p>
      <w:pPr>
        <w:pStyle w:val="ListParagraph"/>
        <w:numPr>
          <w:ilvl w:val="0"/>
          <w:numId w:val="1"/>
        </w:numPr>
        <w:spacing w:after="60"/>
      </w:pPr>
      <w:r>
        <w:rPr>
          <w:sz w:val="22"/>
          <w:szCs w:val="22"/>
        </w:rPr>
        <w:t xml:space="preserve">Residual-risk and owner assignment.</w:t>
      </w:r>
    </w:p>
    <w:p>
      <w:pPr>
        <w:pStyle w:val="ListParagraph"/>
        <w:numPr>
          <w:ilvl w:val="0"/>
          <w:numId w:val="1"/>
        </w:numPr>
        <w:spacing w:after="60"/>
      </w:pPr>
      <w:r>
        <w:rPr>
          <w:sz w:val="22"/>
          <w:szCs w:val="22"/>
        </w:rPr>
        <w:t xml:space="preserve">Cross-reference record between the CAPA and the risk register.</w:t>
      </w:r>
    </w:p>
    <w:p>
      <w:pPr>
        <w:pStyle w:val="Heading2"/>
        <w:spacing w:after="100" w:before="220"/>
      </w:pPr>
      <w:r>
        <w:t xml:space="preserve">PSQ.7.f — The organisation shall have a process for informing various stakeholders in case of a near miss / adverse event / sentinel event.</w:t>
      </w:r>
    </w:p>
    <w:p>
      <w:pPr>
        <w:pStyle w:val="ListParagraph"/>
        <w:numPr>
          <w:ilvl w:val="0"/>
          <w:numId w:val="1"/>
        </w:numPr>
        <w:spacing w:after="60"/>
      </w:pPr>
      <w:r>
        <w:rPr>
          <w:sz w:val="22"/>
          <w:szCs w:val="22"/>
        </w:rPr>
        <w:t xml:space="preserve">Written communication process naming who is told, by whom, and within what time for a near miss, adverse event or sentinel event.</w:t>
      </w:r>
    </w:p>
    <w:p>
      <w:pPr>
        <w:pStyle w:val="ListParagraph"/>
        <w:numPr>
          <w:ilvl w:val="0"/>
          <w:numId w:val="1"/>
        </w:numPr>
        <w:spacing w:after="60"/>
      </w:pPr>
      <w:r>
        <w:rPr>
          <w:sz w:val="22"/>
          <w:szCs w:val="22"/>
        </w:rPr>
        <w:t xml:space="preserve">Communication log for sentinel and defined serious events.</w:t>
      </w:r>
    </w:p>
    <w:p>
      <w:pPr>
        <w:pStyle w:val="ListParagraph"/>
        <w:numPr>
          <w:ilvl w:val="0"/>
          <w:numId w:val="1"/>
        </w:numPr>
        <w:spacing w:after="60"/>
      </w:pPr>
      <w:r>
        <w:rPr>
          <w:sz w:val="22"/>
          <w:szCs w:val="22"/>
        </w:rPr>
        <w:t xml:space="preserve">Confirmation the process sits beside, not in place of, any statutory notification requirement.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«HCO/PSQ/POL/07»  |  Controlled document  |  Incident Collection and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2026-08-21T14:56:58.319Z</dcterms:created>
  <dcterms:modified xsi:type="dcterms:W3CDTF">2026-08-21T14:56:58.321Z</dcterms:modified>
</cp:coreProperties>
</file>

<file path=docProps/custom.xml><?xml version="1.0" encoding="utf-8"?>
<Properties xmlns="http://schemas.openxmlformats.org/officeDocument/2006/custom-properties" xmlns:vt="http://schemas.openxmlformats.org/officeDocument/2006/docPropsVTypes"/>
</file>