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Those Responsible for Governance</w:t>
      </w:r>
    </w:p>
    <w:p>
      <w:pPr>
        <w:spacing w:after="240"/>
        <w:jc w:val="center"/>
      </w:pPr>
      <w:r>
        <w:rPr>
          <w:i/>
          <w:iCs/>
          <w:sz w:val="20"/>
          <w:szCs w:val="20"/>
        </w:rPr>
        <w:t xml:space="preserve">HCO Full Accreditation, 6th Edition — ROM.1.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those responsible for governance and their roles are defined.</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ROM.1: The organisation identifies those responsible for governance and their roles are defined.</w:t>
      </w:r>
    </w:p>
    <w:p>
      <w:pPr>
        <w:spacing w:after="140"/>
      </w:pPr>
      <w:r>
        <w:rPr>
          <w:sz w:val="22"/>
          <w:szCs w:val="22"/>
        </w:rPr>
        <w:t xml:space="preserve">This policy covers all 9 requirements under this standard, listed in detail below.</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covers those responsible for governance specifically. Related duties — like patient assessment, clinical care, medication management, patient rights, infection control, or quality and safety monitoring — are covered in the hospital's other policies, not repeated here.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Preview Hospital, including the «Medical Superintendent», «those responsible for governance» as identified under ROM.1, departmental leaders and the Quality Coordinator.</w:t>
      </w:r>
    </w:p>
    <w:p>
      <w:pPr>
        <w:spacing w:after="140"/>
      </w:pPr>
      <w:r>
        <w:rPr>
          <w:sz w:val="22"/>
          <w:szCs w:val="22"/>
        </w:rPr>
        <w:t xml:space="preserve">This policy covers all 9 requirements under this standard, listed in detail below.</w:t>
      </w:r>
    </w:p>
    <w:p>
      <w:pPr>
        <w:spacing w:after="140"/>
      </w:pPr>
      <w:r>
        <w:rPr>
          <w:sz w:val="22"/>
          <w:szCs w:val="22"/>
        </w:rPr>
        <w:t xml:space="preserve">This policy covers those responsible for governance specifically. Related duties — like patient assessment, clinical care, medication management, patient rights, infection control, or quality and safety monitoring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ROM.1 so that the organisation identifies those responsible for governance and their roles are defined.</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Those responsible for governance are identified and their roles and responsibilities are defined and...</w:t>
      </w:r>
    </w:p>
    <w:p>
      <w:pPr>
        <w:spacing w:after="80"/>
      </w:pPr>
      <w:r>
        <w:rPr>
          <w:sz w:val="22"/>
          <w:szCs w:val="22"/>
        </w:rPr>
        <w:t xml:space="preserve">2. Do not skip: Those responsible for governance lay down the organisation’s vision, mission and values.</w:t>
      </w:r>
    </w:p>
    <w:p>
      <w:pPr>
        <w:spacing w:after="80"/>
      </w:pPr>
      <w:r>
        <w:rPr>
          <w:sz w:val="22"/>
          <w:szCs w:val="22"/>
        </w:rPr>
        <w:t xml:space="preserve">3. Do not skip: Those responsible for governance approve the documented strategic and operational plans and the...</w:t>
      </w:r>
    </w:p>
    <w:p>
      <w:pPr>
        <w:spacing w:after="80"/>
      </w:pPr>
      <w:r>
        <w:rPr>
          <w:sz w:val="22"/>
          <w:szCs w:val="22"/>
        </w:rPr>
        <w:t xml:space="preserve">4. Do not skip: Those responsible for governance monitor and measure the performance of the organisation against the stated...</w:t>
      </w:r>
    </w:p>
    <w:p>
      <w:pPr>
        <w:spacing w:after="80"/>
      </w:pPr>
      <w:r>
        <w:rPr>
          <w:sz w:val="22"/>
          <w:szCs w:val="22"/>
        </w:rPr>
        <w:t xml:space="preserve">5. Do not skip: Those responsible for governance appoint the senior leaders in the organisation.</w:t>
      </w:r>
    </w:p>
    <w:p>
      <w:pPr>
        <w:spacing w:after="80"/>
      </w:pPr>
      <w:r>
        <w:rPr>
          <w:sz w:val="22"/>
          <w:szCs w:val="22"/>
        </w:rPr>
        <w:t xml:space="preserve">6. Do not skip: Those responsible for governance support safety initiatives, clinical governance framework and quality...</w:t>
      </w:r>
    </w:p>
    <w:p>
      <w:pPr>
        <w:spacing w:after="80"/>
      </w:pPr>
      <w:r>
        <w:rPr>
          <w:sz w:val="22"/>
          <w:szCs w:val="22"/>
        </w:rPr>
        <w:t xml:space="preserve">7. Do not skip: Those responsible for governance shall develop clinical governance framework.</w:t>
      </w:r>
    </w:p>
    <w:p>
      <w:pPr>
        <w:spacing w:after="80"/>
      </w:pPr>
      <w:r>
        <w:rPr>
          <w:sz w:val="22"/>
          <w:szCs w:val="22"/>
        </w:rPr>
        <w:t xml:space="preserve">8. Do not skip: Those responsible for governance support the ethical management framework of the organisation.</w:t>
      </w:r>
    </w:p>
    <w:p>
      <w:pPr>
        <w:spacing w:after="80"/>
      </w:pPr>
      <w:r>
        <w:rPr>
          <w:sz w:val="22"/>
          <w:szCs w:val="22"/>
        </w:rPr>
        <w:t xml:space="preserve">9. Do not skip: Those responsible for governance inform the public of the quality and performance of services.</w:t>
      </w:r>
    </w:p>
    <w:p>
      <w:pPr>
        <w:spacing w:after="80"/>
      </w:pPr>
      <w:r>
        <w:rPr>
          <w:sz w:val="22"/>
          <w:szCs w:val="22"/>
        </w:rPr>
        <w:t xml:space="preserve">10. Staff who see a ROM.1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Those responsible for governance are identified and their roles and...</w:t>
      </w:r>
    </w:p>
    <w:p>
      <w:pPr>
        <w:spacing w:after="140"/>
      </w:pPr>
      <w:r>
        <w:rPr>
          <w:sz w:val="22"/>
          <w:szCs w:val="22"/>
        </w:rPr>
        <w:t xml:space="preserve">Preview Hospital identifies «those responsible for governance» by name and role (owner, partners, trustees, board, or the responsible ministry for a public hospital) and documents their roles and responsibilities.</w:t>
      </w:r>
    </w:p>
    <w:p>
      <w:pPr>
        <w:spacing w:after="140"/>
      </w:pPr>
      <w:r>
        <w:rPr>
          <w:sz w:val="22"/>
          <w:szCs w:val="22"/>
        </w:rPr>
        <w:t xml:space="preserve">The current list and role document sit with the «Medical Superintendent». A letterhead name without written roles is not this CORE asterisked element.</w:t>
      </w:r>
    </w:p>
    <w:p>
      <w:pPr>
        <w:spacing w:after="140"/>
      </w:pPr>
      <w:r>
        <w:rPr>
          <w:sz w:val="22"/>
          <w:szCs w:val="22"/>
        </w:rPr>
        <w:t xml:space="preserve">Method note (from guidebook interpretation): Those responsible for governance are accountable for the quality of care and help the healthcare organisation to achieve its goals. The structure of the hospital’s governing body/entity is described in a written document. The document(s) describe when and how the authority of the governing entity can be delegated and to whom. The terms of reference, by-laws and membership of those responsible for governance is documented. This may require that those responsible for governance receive formal orientation regarding their role. Those responsible for governance meet at defined intervals and minutes of the meeting are maintained.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Those responsible for governance lay down the organisation’s vision...</w:t>
      </w:r>
    </w:p>
    <w:p>
      <w:pPr>
        <w:spacing w:after="140"/>
      </w:pPr>
      <w:r>
        <w:rPr>
          <w:sz w:val="22"/>
          <w:szCs w:val="22"/>
        </w:rPr>
        <w:t xml:space="preserve">«those responsible for governance» lay down the organisation's vision, mission and values in writing. They are made public (display, website, induction pack as the organisation defines).</w:t>
      </w:r>
    </w:p>
    <w:p>
      <w:pPr>
        <w:spacing w:after="140"/>
      </w:pPr>
      <w:r>
        <w:rPr>
          <w:sz w:val="22"/>
          <w:szCs w:val="22"/>
        </w:rPr>
        <w:t xml:space="preserve">The «Medical Superintendent» holds the current approved text. A poster without a dated approval is not this asterisked element.</w:t>
      </w:r>
    </w:p>
    <w:p>
      <w:pPr>
        <w:spacing w:after="140"/>
      </w:pPr>
      <w:r>
        <w:rPr>
          <w:sz w:val="22"/>
          <w:szCs w:val="22"/>
        </w:rPr>
        <w:t xml:space="preserve">Method note (from guidebook interpretation): The organisation shall enunciate its vision, mission and values through an authorised document. These shall be developed and reviewed by those responsible for governance in consultation with the organisation’s leaders. Further, inputs could be from external stakeholders, including patients, families and community. The vision, mission and values of the organisation shall be displayed prominently. Only a display on its website would not be appropriate. The same could be translated and displayed in the local language also. For the definition of "mission", “vision” and “values” refer to the glossary.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Those responsible for governance approve the documented strategic and...</w:t>
      </w:r>
    </w:p>
    <w:p>
      <w:pPr>
        <w:spacing w:after="140"/>
      </w:pPr>
      <w:r>
        <w:rPr>
          <w:sz w:val="22"/>
          <w:szCs w:val="22"/>
        </w:rPr>
        <w:t xml:space="preserve">«those responsible for governance» approve the documented strategic plan, operational plan and annual budget before the year starts (or at the defined cycle). Approval is minuted.</w:t>
      </w:r>
    </w:p>
    <w:p>
      <w:pPr>
        <w:spacing w:after="140"/>
      </w:pPr>
      <w:r>
        <w:rPr>
          <w:sz w:val="22"/>
          <w:szCs w:val="22"/>
        </w:rPr>
        <w:t xml:space="preserve">The «Medical Superintendent» files the approved plans and budget. An unapproved spreadsheet is not this asterisked element.</w:t>
      </w:r>
    </w:p>
    <w:p>
      <w:pPr>
        <w:spacing w:after="140"/>
      </w:pPr>
      <w:r>
        <w:rPr>
          <w:sz w:val="22"/>
          <w:szCs w:val="22"/>
        </w:rPr>
        <w:t xml:space="preserve">Method note (from guidebook interpretation): The methodology and frequency of preparation of strategic plan may differ according to the size and type of organisation. Documented operational plans and budget / expenditure shall be approved annually. The operational plan shall be linked to the strategic plan. The strategic and operational plans shall identify responsibility and possible timeframes for achievement. The documented annual budget shall include both capital expenditure and operating expenditure. Refer to the glossary for “strategic and operational plans”.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Those responsible for governance monitor and measure the performance of...</w:t>
      </w:r>
    </w:p>
    <w:p>
      <w:pPr>
        <w:spacing w:after="140"/>
      </w:pPr>
      <w:r>
        <w:rPr>
          <w:sz w:val="22"/>
          <w:szCs w:val="22"/>
        </w:rPr>
        <w:t xml:space="preserve">«those responsible for governance» monitor and measure organisational performance against the stated mission at a defined interval (default «quarterly» dashboard plus «annually» review).</w:t>
      </w:r>
    </w:p>
    <w:p>
      <w:pPr>
        <w:spacing w:after="140"/>
      </w:pPr>
      <w:r>
        <w:rPr>
          <w:sz w:val="22"/>
          <w:szCs w:val="22"/>
        </w:rPr>
        <w:t xml:space="preserve">Minutes record what was reviewed and any decision. The «Quality Coordinator» prepares the pack.</w:t>
      </w:r>
    </w:p>
    <w:p>
      <w:pPr>
        <w:spacing w:after="140"/>
      </w:pPr>
      <w:r>
        <w:rPr>
          <w:sz w:val="22"/>
          <w:szCs w:val="22"/>
        </w:rPr>
        <w:t xml:space="preserve">Method note (from guidebook interpretation): The head of the organisation shall develop periodically (preferably quarterly) performance reports based on the strategic and operational plans. This shall include quality and patient safety parameters. Performance shall be discussed in the meeting of those responsible for governance, and action items are regularly followed up.</w:t>
      </w:r>
    </w:p>
    <w:p>
      <w:pPr>
        <w:pStyle w:val="Heading2"/>
        <w:spacing w:after="100" w:before="220"/>
      </w:pPr>
      <w:r>
        <w:t xml:space="preserve">5.5 Those responsible for governance appoint the senior leaders in the...</w:t>
      </w:r>
    </w:p>
    <w:p>
      <w:pPr>
        <w:spacing w:after="140"/>
      </w:pPr>
      <w:r>
        <w:rPr>
          <w:sz w:val="22"/>
          <w:szCs w:val="22"/>
        </w:rPr>
        <w:t xml:space="preserve">«those responsible for governance» appoint the senior leaders (including the person heading the organisation). Appointment letters, dates and reporting lines are on file with the «Medical Superintendent».</w:t>
      </w:r>
    </w:p>
    <w:p>
      <w:pPr>
        <w:spacing w:after="140"/>
      </w:pPr>
      <w:r>
        <w:rPr>
          <w:sz w:val="22"/>
          <w:szCs w:val="22"/>
        </w:rPr>
        <w:t xml:space="preserve">A person acting as head without a governance appointment is escalated the same week.</w:t>
      </w:r>
    </w:p>
    <w:p>
      <w:pPr>
        <w:spacing w:after="140"/>
      </w:pPr>
      <w:r>
        <w:rPr>
          <w:sz w:val="22"/>
          <w:szCs w:val="22"/>
        </w:rPr>
        <w:t xml:space="preserve">Method note (from guidebook interpretation): At a minimum, the person responsible for managing the day-to-day functioning of the organisation shall be appointed by those responsible for governance. This may be based on qualifications, training, experience and skills.</w:t>
      </w:r>
    </w:p>
    <w:p>
      <w:pPr>
        <w:pStyle w:val="Heading2"/>
        <w:spacing w:after="100" w:before="220"/>
      </w:pPr>
      <w:r>
        <w:t xml:space="preserve">5.6 Those responsible for governance support safety initiatives, clinical...</w:t>
      </w:r>
    </w:p>
    <w:p>
      <w:pPr>
        <w:spacing w:after="140"/>
      </w:pPr>
      <w:r>
        <w:rPr>
          <w:sz w:val="22"/>
          <w:szCs w:val="22"/>
        </w:rPr>
        <w:t xml:space="preserve">«those responsible for governance» support safety initiatives, the clinical-governance framework and quality-improvement plans: they receive those reports, resource them, and minute decisions.</w:t>
      </w:r>
    </w:p>
    <w:p>
      <w:pPr>
        <w:spacing w:after="140"/>
      </w:pPr>
      <w:r>
        <w:rPr>
          <w:sz w:val="22"/>
          <w:szCs w:val="22"/>
        </w:rPr>
        <w:t xml:space="preserve">Support is visible in minutes and budget lines, not only in a statement of intent. This is an asterisked element.</w:t>
      </w:r>
    </w:p>
    <w:p>
      <w:pPr>
        <w:spacing w:after="140"/>
      </w:pPr>
      <w:r>
        <w:rPr>
          <w:sz w:val="22"/>
          <w:szCs w:val="22"/>
        </w:rPr>
        <w:t xml:space="preserve">Method note (from guidebook interpretation): Reports of the safety and quality improvement committee’s minutes are shared with those responsible for governance, and funds and resources are allocated for corrective and preventive action. The information shared shall include the salient points of risk management, process of reporting risk, sentinel events and quality improvement activities.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Those responsible for governance shall develop clinical governance...</w:t>
      </w:r>
    </w:p>
    <w:p>
      <w:pPr>
        <w:spacing w:after="140"/>
      </w:pPr>
      <w:r>
        <w:rPr>
          <w:sz w:val="22"/>
          <w:szCs w:val="22"/>
        </w:rPr>
        <w:t xml:space="preserve">«those responsible for governance» develop a clinical-governance framework covering clinical audit, clinical pathways, education and research as they apply to this hospital's scope.</w:t>
      </w:r>
    </w:p>
    <w:p>
      <w:pPr>
        <w:spacing w:after="140"/>
      </w:pPr>
      <w:r>
        <w:rPr>
          <w:sz w:val="22"/>
          <w:szCs w:val="22"/>
        </w:rPr>
        <w:t xml:space="preserve">The framework is written, dated and owned by the «Medical Superintendent» with the «Quality Coordinator». ROM.1.f is support of that framework; this element is that the framework exists.</w:t>
      </w:r>
    </w:p>
    <w:p>
      <w:pPr>
        <w:spacing w:after="140"/>
      </w:pPr>
      <w:r>
        <w:rPr>
          <w:sz w:val="22"/>
          <w:szCs w:val="22"/>
        </w:rPr>
        <w:t xml:space="preserve">Method note (from guidebook interpretation): Clinical governance framework shall consist of patient safety, medication safety, clinical audits, clinical pathways, clinical indicators, education and research.</w:t>
      </w:r>
    </w:p>
    <w:p>
      <w:pPr>
        <w:pStyle w:val="Heading2"/>
        <w:spacing w:after="100" w:before="220"/>
      </w:pPr>
      <w:r>
        <w:t xml:space="preserve">5.8 Those responsible for governance support the ethical management...</w:t>
      </w:r>
    </w:p>
    <w:p>
      <w:pPr>
        <w:spacing w:after="140"/>
      </w:pPr>
      <w:r>
        <w:rPr>
          <w:sz w:val="22"/>
          <w:szCs w:val="22"/>
        </w:rPr>
        <w:t xml:space="preserve">«those responsible for governance» support the ethical-management framework (ROM.2): they receive ethics issues that reach governance, resource the framework, and minute decisions.</w:t>
      </w:r>
    </w:p>
    <w:p>
      <w:pPr>
        <w:spacing w:after="140"/>
      </w:pPr>
      <w:r>
        <w:rPr>
          <w:sz w:val="22"/>
          <w:szCs w:val="22"/>
        </w:rPr>
        <w:t xml:space="preserve">This Achievement element is evidenced by that support, not by the existence of the framework alone.</w:t>
      </w:r>
    </w:p>
    <w:p>
      <w:pPr>
        <w:spacing w:after="140"/>
      </w:pPr>
      <w:r>
        <w:rPr>
          <w:sz w:val="22"/>
          <w:szCs w:val="22"/>
        </w:rPr>
        <w:t xml:space="preserve">Method note (from guidebook interpretation): This includes the ethical management framework, resolving ethical issues in a defined time frame and addressing conflicts of interest. It also includes support for the ethical conduct of research.</w:t>
      </w:r>
    </w:p>
    <w:p>
      <w:pPr>
        <w:pStyle w:val="Heading2"/>
        <w:spacing w:after="100" w:before="220"/>
      </w:pPr>
      <w:r>
        <w:t xml:space="preserve">5.9 Those responsible for governance inform the public of the quality and...</w:t>
      </w:r>
    </w:p>
    <w:p>
      <w:pPr>
        <w:spacing w:after="140"/>
      </w:pPr>
      <w:r>
        <w:rPr>
          <w:sz w:val="22"/>
          <w:szCs w:val="22"/>
        </w:rPr>
        <w:t xml:space="preserve">«those responsible for governance» inform the public of the quality and performance of services (for example selected indicators, accreditation status, and how to give feedback — the hospital names the set and channel).</w:t>
      </w:r>
    </w:p>
    <w:p>
      <w:pPr>
        <w:spacing w:after="140"/>
      </w:pPr>
      <w:r>
        <w:rPr>
          <w:sz w:val="22"/>
          <w:szCs w:val="22"/>
        </w:rPr>
        <w:t xml:space="preserve">The «Quality Coordinator» keeps samples and dates of what was published.</w:t>
      </w:r>
    </w:p>
    <w:p>
      <w:pPr>
        <w:spacing w:after="140"/>
      </w:pPr>
      <w:r>
        <w:rPr>
          <w:sz w:val="22"/>
          <w:szCs w:val="22"/>
        </w:rPr>
        <w:t xml:space="preserve">Method note (from guidebook interpretation): This could be done in the form of displays or brochures or on the website. This could include positive and negative feedback received from the stakeholders, results of surveys done by independent third parties and results of benchmarking done by professional bodies.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ROM.1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Those Responsible for Governance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ROM.1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Preview Hospital: governance role document, ethical-management framework, ESG / social-responsibility programme, applicable-legislation register, risk-management plan, outsourcing agreements named for ROM.1.</w:t>
      </w:r>
    </w:p>
    <w:p>
      <w:pPr>
        <w:pStyle w:val="Heading1"/>
        <w:spacing w:after="120" w:before="280"/>
      </w:pPr>
      <w:r>
        <w:t xml:space="preserve">10. Distribution</w:t>
      </w:r>
    </w:p>
    <w:p>
      <w:pPr>
        <w:spacing w:after="140"/>
      </w:pPr>
      <w:r>
        <w:rPr>
          <w:sz w:val="22"/>
          <w:szCs w:val="22"/>
        </w:rPr>
        <w:t xml:space="preserve">Medical Superintendent; those responsible for governance; Quality Coordinator; departmental leaders; staff covered by ROM.1</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are identified and their roles and responsibilities are defined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lay down the organisation’s vision, mission and values.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approve the documented strategic and operational plans and the organisation’s annual budget.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monitor and measure the performance of the organisation against the stated mission.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appoint the senior leaders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support safety initiatives, clinical governance framework and quality improvement plans.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shall develop clinical governance framework.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support the ethical management framework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inform the public of the quality and performance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ROM.1.a — Those responsible for governance are identified and their roles and responsibilities are defined and documented.</w:t>
      </w:r>
    </w:p>
    <w:p>
      <w:pPr>
        <w:pStyle w:val="ListParagraph"/>
        <w:numPr>
          <w:ilvl w:val="0"/>
          <w:numId w:val="1"/>
        </w:numPr>
        <w:spacing w:after="60"/>
      </w:pPr>
      <w:r>
        <w:rPr>
          <w:sz w:val="22"/>
          <w:szCs w:val="22"/>
        </w:rPr>
        <w:t xml:space="preserve">Named list of those responsible for governance, with each member's role and responsibility documented.</w:t>
      </w:r>
    </w:p>
    <w:p>
      <w:pPr>
        <w:pStyle w:val="ListParagraph"/>
        <w:numPr>
          <w:ilvl w:val="0"/>
          <w:numId w:val="1"/>
        </w:numPr>
        <w:spacing w:after="60"/>
      </w:pPr>
      <w:r>
        <w:rPr>
          <w:sz w:val="22"/>
          <w:szCs w:val="22"/>
        </w:rPr>
        <w:t xml:space="preserve">Governance resolution or minute formally identifying the list.</w:t>
      </w:r>
    </w:p>
    <w:p>
      <w:pPr>
        <w:pStyle w:val="ListParagraph"/>
        <w:numPr>
          <w:ilvl w:val="0"/>
          <w:numId w:val="1"/>
        </w:numPr>
        <w:spacing w:after="60"/>
      </w:pPr>
      <w:r>
        <w:rPr>
          <w:sz w:val="22"/>
          <w:szCs w:val="22"/>
        </w:rPr>
        <w:t xml:space="preserve">Dated record of the last review or update of the list.</w:t>
      </w:r>
    </w:p>
    <w:p>
      <w:pPr>
        <w:pStyle w:val="Heading2"/>
        <w:spacing w:after="100" w:before="220"/>
      </w:pPr>
      <w:r>
        <w:t xml:space="preserve">ROM.1.b — Those responsible for governance lay down the organisation’s vision, mission and values.</w:t>
      </w:r>
    </w:p>
    <w:p>
      <w:pPr>
        <w:pStyle w:val="ListParagraph"/>
        <w:numPr>
          <w:ilvl w:val="0"/>
          <w:numId w:val="1"/>
        </w:numPr>
        <w:spacing w:after="60"/>
      </w:pPr>
      <w:r>
        <w:rPr>
          <w:sz w:val="22"/>
          <w:szCs w:val="22"/>
        </w:rPr>
        <w:t xml:space="preserve">Governance-approved vision, mission and values statement, with approval date.</w:t>
      </w:r>
    </w:p>
    <w:p>
      <w:pPr>
        <w:pStyle w:val="ListParagraph"/>
        <w:numPr>
          <w:ilvl w:val="0"/>
          <w:numId w:val="1"/>
        </w:numPr>
        <w:spacing w:after="60"/>
      </w:pPr>
      <w:r>
        <w:rPr>
          <w:sz w:val="22"/>
          <w:szCs w:val="22"/>
        </w:rPr>
        <w:t xml:space="preserve">Evidence of public display — photograph or location log, website page, or induction-pack copy.</w:t>
      </w:r>
    </w:p>
    <w:p>
      <w:pPr>
        <w:pStyle w:val="ListParagraph"/>
        <w:numPr>
          <w:ilvl w:val="0"/>
          <w:numId w:val="1"/>
        </w:numPr>
        <w:spacing w:after="60"/>
      </w:pPr>
      <w:r>
        <w:rPr>
          <w:sz w:val="22"/>
          <w:szCs w:val="22"/>
        </w:rPr>
        <w:t xml:space="preserve">Record of when the statement was last reviewed or reaffirmed.</w:t>
      </w:r>
    </w:p>
    <w:p>
      <w:pPr>
        <w:pStyle w:val="Heading2"/>
        <w:spacing w:after="100" w:before="220"/>
      </w:pPr>
      <w:r>
        <w:t xml:space="preserve">ROM.1.c — Those responsible for governance approve the documented strategic and operational plans and the organisation’s annual budget.</w:t>
      </w:r>
    </w:p>
    <w:p>
      <w:pPr>
        <w:pStyle w:val="ListParagraph"/>
        <w:numPr>
          <w:ilvl w:val="0"/>
          <w:numId w:val="1"/>
        </w:numPr>
        <w:spacing w:after="60"/>
      </w:pPr>
      <w:r>
        <w:rPr>
          <w:sz w:val="22"/>
          <w:szCs w:val="22"/>
        </w:rPr>
        <w:t xml:space="preserve">Governance minutes approving the strategic plan, operational plan and annual budget before the cycle starts.</w:t>
      </w:r>
    </w:p>
    <w:p>
      <w:pPr>
        <w:pStyle w:val="ListParagraph"/>
        <w:numPr>
          <w:ilvl w:val="0"/>
          <w:numId w:val="1"/>
        </w:numPr>
        <w:spacing w:after="60"/>
      </w:pPr>
      <w:r>
        <w:rPr>
          <w:sz w:val="22"/>
          <w:szCs w:val="22"/>
        </w:rPr>
        <w:t xml:space="preserve">The approved strategic plan, operational plan and budget documents themselves.</w:t>
      </w:r>
    </w:p>
    <w:p>
      <w:pPr>
        <w:pStyle w:val="ListParagraph"/>
        <w:numPr>
          <w:ilvl w:val="0"/>
          <w:numId w:val="1"/>
        </w:numPr>
        <w:spacing w:after="60"/>
      </w:pPr>
      <w:r>
        <w:rPr>
          <w:sz w:val="22"/>
          <w:szCs w:val="22"/>
        </w:rPr>
        <w:t xml:space="preserve">Dated resolution or sign-off evidencing approval, not just circulation.</w:t>
      </w:r>
    </w:p>
    <w:p>
      <w:pPr>
        <w:pStyle w:val="Heading2"/>
        <w:spacing w:after="100" w:before="220"/>
      </w:pPr>
      <w:r>
        <w:t xml:space="preserve">ROM.1.d — Those responsible for governance monitor and measure the performance of the organisation against the stated mission.</w:t>
      </w:r>
    </w:p>
    <w:p>
      <w:pPr>
        <w:pStyle w:val="ListParagraph"/>
        <w:numPr>
          <w:ilvl w:val="0"/>
          <w:numId w:val="1"/>
        </w:numPr>
        <w:spacing w:after="60"/>
      </w:pPr>
      <w:r>
        <w:rPr>
          <w:sz w:val="22"/>
          <w:szCs w:val="22"/>
        </w:rPr>
        <w:t xml:space="preserve">Quarterly performance dashboard pack presented to governance.</w:t>
      </w:r>
    </w:p>
    <w:p>
      <w:pPr>
        <w:pStyle w:val="ListParagraph"/>
        <w:numPr>
          <w:ilvl w:val="0"/>
          <w:numId w:val="1"/>
        </w:numPr>
        <w:spacing w:after="60"/>
      </w:pPr>
      <w:r>
        <w:rPr>
          <w:sz w:val="22"/>
          <w:szCs w:val="22"/>
        </w:rPr>
        <w:t xml:space="preserve">Governance minutes recording what was reviewed and any decision taken.</w:t>
      </w:r>
    </w:p>
    <w:p>
      <w:pPr>
        <w:pStyle w:val="ListParagraph"/>
        <w:numPr>
          <w:ilvl w:val="0"/>
          <w:numId w:val="1"/>
        </w:numPr>
        <w:spacing w:after="60"/>
      </w:pPr>
      <w:r>
        <w:rPr>
          <w:sz w:val="22"/>
          <w:szCs w:val="22"/>
        </w:rPr>
        <w:t xml:space="preserve">Annual performance-review report measured against the stated mission.</w:t>
      </w:r>
    </w:p>
    <w:p>
      <w:pPr>
        <w:pStyle w:val="Heading2"/>
        <w:spacing w:after="100" w:before="220"/>
      </w:pPr>
      <w:r>
        <w:t xml:space="preserve">ROM.1.e — Those responsible for governance appoint the senior leaders in the organisation.</w:t>
      </w:r>
    </w:p>
    <w:p>
      <w:pPr>
        <w:pStyle w:val="ListParagraph"/>
        <w:numPr>
          <w:ilvl w:val="0"/>
          <w:numId w:val="1"/>
        </w:numPr>
        <w:spacing w:after="60"/>
      </w:pPr>
      <w:r>
        <w:rPr>
          <w:sz w:val="22"/>
          <w:szCs w:val="22"/>
        </w:rPr>
        <w:t xml:space="preserve">Appointment letters for senior leaders, including the person heading the organisation, with dates.</w:t>
      </w:r>
    </w:p>
    <w:p>
      <w:pPr>
        <w:pStyle w:val="ListParagraph"/>
        <w:numPr>
          <w:ilvl w:val="0"/>
          <w:numId w:val="1"/>
        </w:numPr>
        <w:spacing w:after="60"/>
      </w:pPr>
      <w:r>
        <w:rPr>
          <w:sz w:val="22"/>
          <w:szCs w:val="22"/>
        </w:rPr>
        <w:t xml:space="preserve">Governance minutes recording the appointment decision.</w:t>
      </w:r>
    </w:p>
    <w:p>
      <w:pPr>
        <w:pStyle w:val="ListParagraph"/>
        <w:numPr>
          <w:ilvl w:val="0"/>
          <w:numId w:val="1"/>
        </w:numPr>
        <w:spacing w:after="60"/>
      </w:pPr>
      <w:r>
        <w:rPr>
          <w:sz w:val="22"/>
          <w:szCs w:val="22"/>
        </w:rPr>
        <w:t xml:space="preserve">Current reporting-line document naming who each senior leader reports to.</w:t>
      </w:r>
    </w:p>
    <w:p>
      <w:pPr>
        <w:pStyle w:val="Heading2"/>
        <w:spacing w:after="100" w:before="220"/>
      </w:pPr>
      <w:r>
        <w:t xml:space="preserve">ROM.1.f — Those responsible for governance support safety initiatives, clinical governance framework and quality improvement plans.</w:t>
      </w:r>
    </w:p>
    <w:p>
      <w:pPr>
        <w:pStyle w:val="ListParagraph"/>
        <w:numPr>
          <w:ilvl w:val="0"/>
          <w:numId w:val="1"/>
        </w:numPr>
        <w:spacing w:after="60"/>
      </w:pPr>
      <w:r>
        <w:rPr>
          <w:sz w:val="22"/>
          <w:szCs w:val="22"/>
        </w:rPr>
        <w:t xml:space="preserve">Governance minutes showing safety, clinical-governance or quality-improvement reports were received.</w:t>
      </w:r>
    </w:p>
    <w:p>
      <w:pPr>
        <w:pStyle w:val="ListParagraph"/>
        <w:numPr>
          <w:ilvl w:val="0"/>
          <w:numId w:val="1"/>
        </w:numPr>
        <w:spacing w:after="60"/>
      </w:pPr>
      <w:r>
        <w:rPr>
          <w:sz w:val="22"/>
          <w:szCs w:val="22"/>
        </w:rPr>
        <w:t xml:space="preserve">Budget line or resource allocation record supporting those initiatives.</w:t>
      </w:r>
    </w:p>
    <w:p>
      <w:pPr>
        <w:pStyle w:val="ListParagraph"/>
        <w:numPr>
          <w:ilvl w:val="0"/>
          <w:numId w:val="1"/>
        </w:numPr>
        <w:spacing w:after="60"/>
      </w:pPr>
      <w:r>
        <w:rPr>
          <w:sz w:val="22"/>
          <w:szCs w:val="22"/>
        </w:rPr>
        <w:t xml:space="preserve">Decisions recorded in minutes in response to those reports.</w:t>
      </w:r>
    </w:p>
    <w:p>
      <w:pPr>
        <w:pStyle w:val="Heading2"/>
        <w:spacing w:after="100" w:before="220"/>
      </w:pPr>
      <w:r>
        <w:t xml:space="preserve">ROM.1.g — Those responsible for governance shall develop clinical governance framework.</w:t>
      </w:r>
    </w:p>
    <w:p>
      <w:pPr>
        <w:pStyle w:val="ListParagraph"/>
        <w:numPr>
          <w:ilvl w:val="0"/>
          <w:numId w:val="1"/>
        </w:numPr>
        <w:spacing w:after="60"/>
      </w:pPr>
      <w:r>
        <w:rPr>
          <w:sz w:val="22"/>
          <w:szCs w:val="22"/>
        </w:rPr>
        <w:t xml:space="preserve">The written clinical-governance framework document (clinical audit, clinical pathways, education, research).</w:t>
      </w:r>
    </w:p>
    <w:p>
      <w:pPr>
        <w:pStyle w:val="ListParagraph"/>
        <w:numPr>
          <w:ilvl w:val="0"/>
          <w:numId w:val="1"/>
        </w:numPr>
        <w:spacing w:after="60"/>
      </w:pPr>
      <w:r>
        <w:rPr>
          <w:sz w:val="22"/>
          <w:szCs w:val="22"/>
        </w:rPr>
        <w:t xml:space="preserve">Dated approval record naming who owns the framework.</w:t>
      </w:r>
    </w:p>
    <w:p>
      <w:pPr>
        <w:pStyle w:val="ListParagraph"/>
        <w:numPr>
          <w:ilvl w:val="0"/>
          <w:numId w:val="1"/>
        </w:numPr>
        <w:spacing w:after="60"/>
      </w:pPr>
      <w:r>
        <w:rPr>
          <w:sz w:val="22"/>
          <w:szCs w:val="22"/>
        </w:rPr>
        <w:t xml:space="preserve">Evidence of periodic review or update of the framework.</w:t>
      </w:r>
    </w:p>
    <w:p>
      <w:pPr>
        <w:pStyle w:val="Heading2"/>
        <w:spacing w:after="100" w:before="220"/>
      </w:pPr>
      <w:r>
        <w:t xml:space="preserve">ROM.1.h — Those responsible for governance support the ethical management framework of the organisation.</w:t>
      </w:r>
    </w:p>
    <w:p>
      <w:pPr>
        <w:pStyle w:val="ListParagraph"/>
        <w:numPr>
          <w:ilvl w:val="0"/>
          <w:numId w:val="1"/>
        </w:numPr>
        <w:spacing w:after="60"/>
      </w:pPr>
      <w:r>
        <w:rPr>
          <w:sz w:val="22"/>
          <w:szCs w:val="22"/>
        </w:rPr>
        <w:t xml:space="preserve">Governance minutes showing an ethics issue was escalated to and considered by governance.</w:t>
      </w:r>
    </w:p>
    <w:p>
      <w:pPr>
        <w:pStyle w:val="ListParagraph"/>
        <w:numPr>
          <w:ilvl w:val="0"/>
          <w:numId w:val="1"/>
        </w:numPr>
        <w:spacing w:after="60"/>
      </w:pPr>
      <w:r>
        <w:rPr>
          <w:sz w:val="22"/>
          <w:szCs w:val="22"/>
        </w:rPr>
        <w:t xml:space="preserve">Resource allocation record supporting the ethical-management framework.</w:t>
      </w:r>
    </w:p>
    <w:p>
      <w:pPr>
        <w:pStyle w:val="ListParagraph"/>
        <w:numPr>
          <w:ilvl w:val="0"/>
          <w:numId w:val="1"/>
        </w:numPr>
        <w:spacing w:after="60"/>
      </w:pPr>
      <w:r>
        <w:rPr>
          <w:sz w:val="22"/>
          <w:szCs w:val="22"/>
        </w:rPr>
        <w:t xml:space="preserve">Decisions recorded on ethics matters raised.</w:t>
      </w:r>
    </w:p>
    <w:p>
      <w:pPr>
        <w:pStyle w:val="Heading2"/>
        <w:spacing w:after="100" w:before="220"/>
      </w:pPr>
      <w:r>
        <w:t xml:space="preserve">ROM.1.i — Those responsible for governance inform the public of the quality and performance of services.</w:t>
      </w:r>
    </w:p>
    <w:p>
      <w:pPr>
        <w:pStyle w:val="ListParagraph"/>
        <w:numPr>
          <w:ilvl w:val="0"/>
          <w:numId w:val="1"/>
        </w:numPr>
        <w:spacing w:after="60"/>
      </w:pPr>
      <w:r>
        <w:rPr>
          <w:sz w:val="22"/>
          <w:szCs w:val="22"/>
        </w:rPr>
        <w:t xml:space="preserve">Published quality/performance indicators, accreditation status, or the defined public-information set.</w:t>
      </w:r>
    </w:p>
    <w:p>
      <w:pPr>
        <w:pStyle w:val="ListParagraph"/>
        <w:numPr>
          <w:ilvl w:val="0"/>
          <w:numId w:val="1"/>
        </w:numPr>
        <w:spacing w:after="60"/>
      </w:pPr>
      <w:r>
        <w:rPr>
          <w:sz w:val="22"/>
          <w:szCs w:val="22"/>
        </w:rPr>
        <w:t xml:space="preserve">Dated samples of what was published (display photograph, website snapshot, or notice).</w:t>
      </w:r>
    </w:p>
    <w:p>
      <w:pPr>
        <w:pStyle w:val="ListParagraph"/>
        <w:numPr>
          <w:ilvl w:val="0"/>
          <w:numId w:val="1"/>
        </w:numPr>
        <w:spacing w:after="60"/>
      </w:pPr>
      <w:r>
        <w:rPr>
          <w:sz w:val="22"/>
          <w:szCs w:val="22"/>
        </w:rPr>
        <w:t xml:space="preserve">Record of the feedback channel offered to the public and how it is publicised.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«HCO/ROM/POL/01»  |  Controlled document  |  Those Responsible for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2026-08-21T14:56:59.098Z</dcterms:created>
  <dcterms:modified xsi:type="dcterms:W3CDTF">2026-08-21T14:56:59.104Z</dcterms:modified>
</cp:coreProperties>
</file>

<file path=docProps/custom.xml><?xml version="1.0" encoding="utf-8"?>
<Properties xmlns="http://schemas.openxmlformats.org/officeDocument/2006/custom-properties" xmlns:vt="http://schemas.openxmlformats.org/officeDocument/2006/docPropsVTypes"/>
</file>