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Staff Recruitment</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HCO/HRM/POL/02</w:t>
            </w:r>
          </w:p>
        </w:tc>
        <w:tc>
          <w:tcPr>
            <w:tcW w:type="dxa" w:w="2160"/>
          </w:tcPr>
          <w:p>
            <w:r>
              <w:t>Version</w:t>
            </w:r>
          </w:p>
        </w:tc>
        <w:tc>
          <w:tcPr>
            <w:tcW w:type="dxa" w:w="2160"/>
          </w:tcPr>
          <w:p>
            <w:r>
              <w:t>1.0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HR In-Charge / Personnel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recruits staff through a transparent, documented process that checks fitness, character and conduct before someone starts patient-facing work.</w:t>
      </w:r>
    </w:p>
    <w:p>
      <w:pPr>
        <w:pStyle w:val="Heading1"/>
      </w:pPr>
      <w:r>
        <w:t>1. Purpose</w:t>
      </w:r>
    </w:p>
    <w:p>
      <w:pPr/>
      <w:r>
        <w:t>This policy explains how «Hospital Name» recruits staff, checks their fitness to work, sets standards of conduct, and documents its administrative procedures.</w:t>
      </w:r>
    </w:p>
    <w:p>
      <w:pPr/>
      <w:r>
        <w:t>This policy does not cover induction training, job descriptions, or staff appraisal — those are covered in other hospital policies.</w:t>
      </w:r>
    </w:p>
    <w:p>
      <w:pPr>
        <w:pStyle w:val="Heading1"/>
      </w:pPr>
      <w:r>
        <w:t>2. Scope</w:t>
      </w:r>
    </w:p>
    <w:p>
      <w:pPr/>
      <w:r>
        <w:t>This policy applies to the HR In-Charge / Personnel Officer and every category of staff being recruited at «Hospital Name».</w:t>
      </w:r>
    </w:p>
    <w:p>
      <w:pPr>
        <w:pStyle w:val="Heading1"/>
      </w:pPr>
      <w:r>
        <w:t>3. Policy standards</w:t>
      </w:r>
    </w:p>
    <w:p>
      <w:pPr/>
      <w:r>
        <w:t>«Hospital Name» recruits against written, transparent guidance; conducts a lawful, consent-based pre-employment medical examination; defines and implements a code of conduct that protects patient confidentiality; and documents its administrative HR procedures.</w:t>
      </w:r>
    </w:p>
    <w:p>
      <w:pPr>
        <w:pStyle w:val="Heading1"/>
      </w:pPr>
      <w:r>
        <w:t>4. Non-negotiable rules</w:t>
      </w:r>
    </w:p>
    <w:p>
      <w:pPr>
        <w:pStyle w:val="ListNumber"/>
      </w:pPr>
      <w:r>
        <w:t>Do not recruit any staff category without written, documented guidance covering that category.</w:t>
      </w:r>
    </w:p>
    <w:p>
      <w:pPr>
        <w:pStyle w:val="ListNumber"/>
      </w:pPr>
      <w:r>
        <w:t>Do not perform any pre-employment test without the candidate's consent and without it being lawful.</w:t>
      </w:r>
    </w:p>
    <w:p>
      <w:pPr>
        <w:pStyle w:val="ListNumber"/>
      </w:pPr>
      <w:r>
        <w:t>Do not let a staff member start work without having signed the code of conduct.</w:t>
      </w:r>
    </w:p>
    <w:p>
      <w:pPr>
        <w:pStyle w:val="ListNumber"/>
      </w:pPr>
      <w:r>
        <w:t>Do not leave administrative procedures — attendance, leave, conduct, replacement — undocumented.</w:t>
      </w:r>
    </w:p>
    <w:p>
      <w:pPr>
        <w:pStyle w:val="ListNumber"/>
      </w:pPr>
      <w:r>
        <w:t>Staff who see any of these rules broken report it the same shift to the HR In-Charge / Personnel Officer or the Medical Superintendent.</w:t>
      </w:r>
    </w:p>
    <w:p>
      <w:pPr>
        <w:pStyle w:val="Heading1"/>
      </w:pPr>
      <w:r>
        <w:t>5. What we do</w:t>
      </w:r>
    </w:p>
    <w:p>
      <w:pPr>
        <w:pStyle w:val="Heading2"/>
      </w:pPr>
      <w:r>
        <w:t>5.1 Recruit against written, transparent guidance</w:t>
      </w:r>
    </w:p>
    <w:p>
      <w:pPr/>
      <w:r>
        <w:t>Written guidance governs recruitment at «Hospital Name», based on defined criteria for each staff category, ensuring an adequate number and skill mix to provide the hospital's services. The procedure confirms a candidate has the necessary registration, qualifications, skills and experience before appointment, and follows statutory requirements where they apply. The process is documented and carried out transparently. The HR In-Charge / Personnel Officer maintains a recruitment register logging the vacancy, candidates considered, selection rationale and fill date.</w:t>
      </w:r>
    </w:p>
    <w:p>
      <w:pPr>
        <w:pStyle w:val="Heading2"/>
      </w:pPr>
      <w:r>
        <w:t>5.2 Confirm fitness to work, lawfully</w:t>
      </w:r>
    </w:p>
    <w:p>
      <w:pPr/>
      <w:r>
        <w:t>A pre-employment medical examination is conducted to confirm a candidate is fit to provide safe care. The scope of testing is guided by the nature of the role, but any test performed follows the law of the land — for example, pre-employment HIV testing without the candidate's consent is illegal and is not this hospital's practice. The HR In-Charge / Personnel Officer holds the examination record with the personnel file.</w:t>
      </w:r>
    </w:p>
    <w:p>
      <w:pPr>
        <w:pStyle w:val="Heading2"/>
      </w:pPr>
      <w:r>
        <w:t>5.3 Set and sign a code of conduct</w:t>
      </w:r>
    </w:p>
    <w:p>
      <w:pPr/>
      <w:r>
        <w:t>«Hospital Name» defines and implements a code of conduct outlining the do's and don'ts of workplace behaviour, aligned with the hospital's values and ethics framework and including protection of patient confidentiality. Staff sign the code at the time of joining; it may form part of the hospital's service rules. The HR In-Charge / Personnel Officer holds signed acknowledgements with the personnel file.</w:t>
      </w:r>
    </w:p>
    <w:p>
      <w:pPr>
        <w:pStyle w:val="Heading2"/>
      </w:pPr>
      <w:r>
        <w:t>5.4 Document HR administrative procedures</w:t>
      </w:r>
    </w:p>
    <w:p>
      <w:pPr/>
      <w:r>
        <w:t>Administrative procedures for human resource management are documented — at minimum attendance, leave, conduct and replacement. The HR In-Charge / Personnel Officer maintains the current procedure set and covers it during induction.</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HR In-Charge / Personnel Officer</w:t>
            </w:r>
          </w:p>
        </w:tc>
        <w:tc>
          <w:tcPr>
            <w:tcW w:type="dxa" w:w="4320"/>
          </w:tcPr>
          <w:p>
            <w:r>
              <w:t>Owns the recruitment register, medical examination records, code-of-conduct acknowledgements, and administrative procedure documentation.</w:t>
            </w:r>
          </w:p>
        </w:tc>
      </w:tr>
      <w:tr>
        <w:tc>
          <w:tcPr>
            <w:tcW w:type="dxa" w:w="4320"/>
          </w:tcPr>
          <w:p>
            <w:r>
              <w:t>Medical Superintendent</w:t>
            </w:r>
          </w:p>
        </w:tc>
        <w:tc>
          <w:tcPr>
            <w:tcW w:type="dxa" w:w="4320"/>
          </w:tcPr>
          <w:p>
            <w:r>
              <w:t>Accountable that this policy is followed.</w:t>
            </w:r>
          </w:p>
        </w:tc>
      </w:tr>
    </w:tbl>
    <w:p>
      <w:pPr>
        <w:pStyle w:val="Heading1"/>
      </w:pPr>
      <w:r>
        <w:t>7. Quality monitoring</w:t>
      </w:r>
    </w:p>
    <w:p>
      <w:pPr/>
      <w:r>
        <w:t>The HR In-Charge / Personnel Officer reviews a sample of recruitment files periodically against the steps in Section 5, confirming registration/qualification checks, medical examination and consent records, and signed codes of conduct are on file. This policy itself is reviewed every year.</w:t>
      </w:r>
    </w:p>
    <w:p>
      <w:pPr>
        <w:pStyle w:val="Heading1"/>
      </w:pPr>
      <w:r>
        <w:t>8. Training and staff acknowledgement</w:t>
      </w:r>
    </w:p>
    <w:p>
      <w:pPr/>
      <w:r>
        <w:t>Staff covered by this policy are trained on it when they take up the role, and again every year after that.</w:t>
      </w:r>
    </w:p>
    <w:p>
      <w:pPr/>
      <w:r>
        <w:t>I have read the Policy on Staff Recruitment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HR In-Charge / Personnel Officer; Medical Superintendent; department heads.</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HCO</w:t>
            </w:r>
          </w:p>
        </w:tc>
        <w:tc>
          <w:tcPr>
            <w:tcW w:type="dxa" w:w="4320"/>
          </w:tcPr>
          <w:p>
            <w:r>
              <w:t>Hospital (Full Accreditation programme under NABH Hospitals 6th Edition)</w:t>
            </w:r>
          </w:p>
        </w:tc>
      </w:tr>
      <w:tr>
        <w:tc>
          <w:tcPr>
            <w:tcW w:type="dxa" w:w="4320"/>
          </w:tcPr>
          <w:p>
            <w:r>
              <w:t>HR</w:t>
            </w:r>
          </w:p>
        </w:tc>
        <w:tc>
          <w:tcPr>
            <w:tcW w:type="dxa" w:w="4320"/>
          </w:tcPr>
          <w:p>
            <w:r>
              <w:t>Human Resources</w:t>
            </w:r>
          </w:p>
        </w:tc>
      </w:tr>
      <w:tr>
        <w:tc>
          <w:tcPr>
            <w:tcW w:type="dxa" w:w="4320"/>
          </w:tcPr>
          <w:p>
            <w:r>
              <w:t>HRM</w:t>
            </w:r>
          </w:p>
        </w:tc>
        <w:tc>
          <w:tcPr>
            <w:tcW w:type="dxa" w:w="4320"/>
          </w:tcPr>
          <w:p>
            <w:r>
              <w:t>Human Resource Management (NABH Hospitals 6th Edition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bl>
    <w:p>
      <w:pPr>
        <w:pStyle w:val="Heading1"/>
      </w:pPr>
      <w:r>
        <w:t>11. Traceability to NABH HCO Full Accreditation 6th Edition HRM.2</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OE</w:t>
            </w:r>
          </w:p>
        </w:tc>
        <w:tc>
          <w:tcPr>
            <w:tcW w:type="dxa" w:w="2160"/>
          </w:tcPr>
          <w:p>
            <w:r>
              <w:t>Level</w:t>
            </w:r>
          </w:p>
        </w:tc>
        <w:tc>
          <w:tcPr>
            <w:tcW w:type="dxa" w:w="2160"/>
          </w:tcPr>
          <w:p>
            <w:r>
              <w:t>Where addressed</w:t>
            </w:r>
          </w:p>
        </w:tc>
        <w:tc>
          <w:tcPr>
            <w:tcW w:type="dxa" w:w="2160"/>
          </w:tcPr>
          <w:p>
            <w:r>
              <w:t>Responsible</w:t>
            </w:r>
          </w:p>
        </w:tc>
      </w:tr>
      <w:tr>
        <w:tc>
          <w:tcPr>
            <w:tcW w:type="dxa" w:w="2160"/>
          </w:tcPr>
          <w:p>
            <w:r>
              <w:t>HRM.2.a</w:t>
            </w:r>
          </w:p>
        </w:tc>
        <w:tc>
          <w:tcPr>
            <w:tcW w:type="dxa" w:w="2160"/>
          </w:tcPr>
          <w:p>
            <w:r>
              <w:t>CORE*</w:t>
            </w:r>
          </w:p>
        </w:tc>
        <w:tc>
          <w:tcPr>
            <w:tcW w:type="dxa" w:w="2160"/>
          </w:tcPr>
          <w:p>
            <w:r>
              <w:t>Section 3; 5.1</w:t>
            </w:r>
          </w:p>
        </w:tc>
        <w:tc>
          <w:tcPr>
            <w:tcW w:type="dxa" w:w="2160"/>
          </w:tcPr>
          <w:p>
            <w:r>
              <w:t>HR In-Charge / Personnel Officer</w:t>
            </w:r>
          </w:p>
        </w:tc>
      </w:tr>
      <w:tr>
        <w:tc>
          <w:tcPr>
            <w:tcW w:type="dxa" w:w="2160"/>
          </w:tcPr>
          <w:p>
            <w:r>
              <w:t>HRM.2.b</w:t>
            </w:r>
          </w:p>
        </w:tc>
        <w:tc>
          <w:tcPr>
            <w:tcW w:type="dxa" w:w="2160"/>
          </w:tcPr>
          <w:p>
            <w:r>
              <w:t>Commitment</w:t>
            </w:r>
          </w:p>
        </w:tc>
        <w:tc>
          <w:tcPr>
            <w:tcW w:type="dxa" w:w="2160"/>
          </w:tcPr>
          <w:p>
            <w:r>
              <w:t>Section 3; 5.2</w:t>
            </w:r>
          </w:p>
        </w:tc>
        <w:tc>
          <w:tcPr>
            <w:tcW w:type="dxa" w:w="2160"/>
          </w:tcPr>
          <w:p>
            <w:r>
              <w:t>HR In-Charge / Personnel Officer</w:t>
            </w:r>
          </w:p>
        </w:tc>
      </w:tr>
      <w:tr>
        <w:tc>
          <w:tcPr>
            <w:tcW w:type="dxa" w:w="2160"/>
          </w:tcPr>
          <w:p>
            <w:r>
              <w:t>HRM.2.c</w:t>
            </w:r>
          </w:p>
        </w:tc>
        <w:tc>
          <w:tcPr>
            <w:tcW w:type="dxa" w:w="2160"/>
          </w:tcPr>
          <w:p>
            <w:r>
              <w:t>CORE</w:t>
            </w:r>
          </w:p>
        </w:tc>
        <w:tc>
          <w:tcPr>
            <w:tcW w:type="dxa" w:w="2160"/>
          </w:tcPr>
          <w:p>
            <w:r>
              <w:t>Section 3; 5.3</w:t>
            </w:r>
          </w:p>
        </w:tc>
        <w:tc>
          <w:tcPr>
            <w:tcW w:type="dxa" w:w="2160"/>
          </w:tcPr>
          <w:p>
            <w:r>
              <w:t>HR In-Charge / Personnel Officer</w:t>
            </w:r>
          </w:p>
        </w:tc>
      </w:tr>
      <w:tr>
        <w:tc>
          <w:tcPr>
            <w:tcW w:type="dxa" w:w="2160"/>
          </w:tcPr>
          <w:p>
            <w:r>
              <w:t>HRM.2.d</w:t>
            </w:r>
          </w:p>
        </w:tc>
        <w:tc>
          <w:tcPr>
            <w:tcW w:type="dxa" w:w="2160"/>
          </w:tcPr>
          <w:p>
            <w:r>
              <w:t>Commitment*</w:t>
            </w:r>
          </w:p>
        </w:tc>
        <w:tc>
          <w:tcPr>
            <w:tcW w:type="dxa" w:w="2160"/>
          </w:tcPr>
          <w:p>
            <w:r>
              <w:t>Section 3; 5.4</w:t>
            </w:r>
          </w:p>
        </w:tc>
        <w:tc>
          <w:tcPr>
            <w:tcW w:type="dxa" w:w="2160"/>
          </w:tcPr>
          <w:p>
            <w:r>
              <w:t>HR In-Charge / Personnel Officer</w:t>
            </w:r>
          </w:p>
        </w:tc>
      </w:tr>
    </w:tbl>
    <w:p>
      <w:pPr>
        <w:pStyle w:val="Heading1"/>
      </w:pPr>
      <w:r>
        <w:t>12. Required Records / Evidence Checklist</w:t>
      </w:r>
    </w:p>
    <w:p>
      <w:pPr>
        <w:pStyle w:val="Heading2"/>
      </w:pPr>
      <w:r>
        <w:t>HRM.2.a — Written guidance governs recruitment.</w:t>
      </w:r>
    </w:p>
    <w:p>
      <w:pPr>
        <w:pStyle w:val="ListBullet"/>
      </w:pPr>
      <w:r>
        <w:t>Written recruitment guidance document.</w:t>
      </w:r>
    </w:p>
    <w:p>
      <w:pPr>
        <w:pStyle w:val="ListBullet"/>
      </w:pPr>
      <w:r>
        <w:t>Recruitment register — vacancy, candidates, selection rationale, fill date.</w:t>
      </w:r>
    </w:p>
    <w:p>
      <w:pPr>
        <w:pStyle w:val="ListBullet"/>
      </w:pPr>
      <w:r>
        <w:t>Statutory-requirement compliance record where applicable.</w:t>
      </w:r>
    </w:p>
    <w:p>
      <w:pPr>
        <w:pStyle w:val="Heading2"/>
      </w:pPr>
      <w:r>
        <w:t>HRM.2.b — Pre-employment medical examination.</w:t>
      </w:r>
    </w:p>
    <w:p>
      <w:pPr>
        <w:pStyle w:val="ListBullet"/>
      </w:pPr>
      <w:r>
        <w:t>Pre-employment medical examination record on file.</w:t>
      </w:r>
    </w:p>
    <w:p>
      <w:pPr>
        <w:pStyle w:val="ListBullet"/>
      </w:pPr>
      <w:r>
        <w:t>Consent record for any testing performed, confirming no non-consensual testing.</w:t>
      </w:r>
    </w:p>
    <w:p>
      <w:pPr>
        <w:pStyle w:val="ListBullet"/>
      </w:pPr>
      <w:r>
        <w:t>Fitness-to-work determination record.</w:t>
      </w:r>
    </w:p>
    <w:p>
      <w:pPr>
        <w:pStyle w:val="Heading2"/>
      </w:pPr>
      <w:r>
        <w:t>HRM.2.c — Code of conduct defined and implemented.</w:t>
      </w:r>
    </w:p>
    <w:p>
      <w:pPr>
        <w:pStyle w:val="ListBullet"/>
      </w:pPr>
      <w:r>
        <w:t>Written code of conduct document.</w:t>
      </w:r>
    </w:p>
    <w:p>
      <w:pPr>
        <w:pStyle w:val="ListBullet"/>
      </w:pPr>
      <w:r>
        <w:t>Signed staff acknowledgement at joining.</w:t>
      </w:r>
    </w:p>
    <w:p>
      <w:pPr>
        <w:pStyle w:val="ListBullet"/>
      </w:pPr>
      <w:r>
        <w:t>Confidentiality-protection clause record within the code.</w:t>
      </w:r>
    </w:p>
    <w:p>
      <w:pPr>
        <w:pStyle w:val="Heading2"/>
      </w:pPr>
      <w:r>
        <w:t>HRM.2.d — Administrative HR procedures documented.</w:t>
      </w:r>
    </w:p>
    <w:p>
      <w:pPr>
        <w:pStyle w:val="ListBullet"/>
      </w:pPr>
      <w:r>
        <w:t>Documented administrative procedures — attendance, leave, conduct, replacement.</w:t>
      </w:r>
    </w:p>
    <w:p>
      <w:pPr>
        <w:pStyle w:val="ListBullet"/>
      </w:pPr>
      <w:r>
        <w:t>Current-version record held by HR.</w:t>
      </w:r>
    </w:p>
    <w:p>
      <w:pPr>
        <w:pStyle w:val="ListBullet"/>
      </w:pPr>
      <w:r>
        <w:t>Induction coverage record for these procedures.</w:t>
      </w:r>
    </w:p>
    <w:p>
      <w:pPr>
        <w:pStyle w:val="Heading1"/>
      </w:pPr>
      <w:r>
        <w:t>13. References</w:t>
      </w:r>
    </w:p>
    <w:p>
      <w:pPr>
        <w:pStyle w:val="ListBullet"/>
      </w:pPr>
      <w:r>
        <w:t>NABH Accreditation Standards for Hospitals, 6th Edition — standard HRM.2.</w:t>
      </w:r>
    </w:p>
    <w:p>
      <w:pPr>
        <w:pStyle w:val="ListBullet"/>
      </w:pPr>
      <w:r>
        <w:t>NABH Guidebook to Accreditation Standards for Hospitals, 6th Edition — HRM.2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