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Uniform Medication Orders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HCO/MOM/POL/05</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Medication orders are written only by authorised personnel, in one uniform place in the medical record, legibly, and complete with every required detail every time.</w:t>
      </w:r>
    </w:p>
    <w:p>
      <w:pPr>
        <w:pStyle w:val="Heading1"/>
      </w:pPr>
      <w:r>
        <w:t>1. Purpose</w:t>
      </w:r>
    </w:p>
    <w:p>
      <w:pPr/>
      <w:r>
        <w:t>This policy explains how «Hospital Name» ensures only authorised personnel write medication orders, keeps every order in one uniform location, keeps orders legible and traceable, and requires every order to include the medicine name, route, strength, and frequency.</w:t>
      </w:r>
    </w:p>
    <w:p>
      <w:pPr/>
      <w:r>
        <w:t>This policy does not cover prescription content requirements or dispensing in detail — those are covered in other hospital policies.</w:t>
      </w:r>
    </w:p>
    <w:p>
      <w:pPr>
        <w:pStyle w:val="Heading1"/>
      </w:pPr>
      <w:r>
        <w:t>2. Scope</w:t>
      </w:r>
    </w:p>
    <w:p>
      <w:pPr/>
      <w:r>
        <w:t>This policy applies to all doctors and authorised staff who write medication orders at «Hospital Name».</w:t>
      </w:r>
    </w:p>
    <w:p>
      <w:pPr>
        <w:pStyle w:val="Heading1"/>
      </w:pPr>
      <w:r>
        <w:t>3. Policy standards</w:t>
      </w:r>
    </w:p>
    <w:p>
      <w:pPr/>
      <w:r>
        <w:t>«Hospital Name» ensures only doctors — or staff specifically authorised by legislation or government order — write medication orders. Every order is recorded in a single, uniform location in the medical record, including the patient's name and unique identification number, and only medications recorded there are administered. Orders are legible, dated, timed, signed, and traceable to the person who wrote them, and every order names the medicine, route of administration, strength, and frequency or time of administration.</w:t>
      </w:r>
    </w:p>
    <w:p>
      <w:pPr/>
      <w:r>
        <w:t>Staff follow the written guidance below and keep the records it requires.</w:t>
      </w:r>
    </w:p>
    <w:p>
      <w:pPr>
        <w:pStyle w:val="Heading1"/>
      </w:pPr>
      <w:r>
        <w:t>4. Non-negotiable rules</w:t>
      </w:r>
    </w:p>
    <w:p>
      <w:pPr>
        <w:pStyle w:val="ListBullet"/>
      </w:pPr>
      <w:r>
        <w:t>Do not let anyone other than a doctor — holding at least an MBBS qualification — write a medication order, unless another category of staff is specifically authorised by legislation or a government order.</w:t>
      </w:r>
    </w:p>
    <w:p>
      <w:pPr>
        <w:pStyle w:val="ListBullet"/>
      </w:pPr>
      <w:r>
        <w:t>Do not administer a medication that isn't recorded in the uniform medication-order location of the medical record, and do not accept phrases like "continue same treatment," "repeat all," or similar shorthand in place of a written order.</w:t>
      </w:r>
    </w:p>
    <w:p>
      <w:pPr>
        <w:pStyle w:val="ListBullet"/>
      </w:pPr>
      <w:r>
        <w:t>Do not modify an existing medication order by striking through or overwriting it — discontinue the original and write a fresh order instead.</w:t>
      </w:r>
    </w:p>
    <w:p>
      <w:pPr>
        <w:pStyle w:val="ListBullet"/>
      </w:pPr>
      <w:r>
        <w:t>Do not use error-prone abbreviations in a medication order, and do not use any abbreviation outside the hospital's approved, standardised list.</w:t>
      </w:r>
    </w:p>
    <w:p>
      <w:pPr>
        <w:pStyle w:val="ListBullet"/>
      </w:pPr>
      <w:r>
        <w:t>Do not write a multi-drug order without stating the strength of every individual drug, except where the combination is only of vitamins and/or minerals.</w:t>
      </w:r>
    </w:p>
    <w:p>
      <w:pPr>
        <w:pStyle w:val="ListBullet"/>
      </w:pPr>
      <w:r>
        <w:t>Do not leave an incomplete medication order — missing the drug name, route, strength, or frequency — without a mechanism to catch and correct it.</w:t>
      </w:r>
    </w:p>
    <w:p>
      <w:pPr>
        <w:pStyle w:val="Heading1"/>
      </w:pPr>
      <w:r>
        <w:t>5. What we do</w:t>
      </w:r>
    </w:p>
    <w:p>
      <w:pPr>
        <w:pStyle w:val="Heading2"/>
      </w:pPr>
      <w:r>
        <w:t>5.1 Ensure only authorised personnel write orders</w:t>
      </w:r>
    </w:p>
    <w:p>
      <w:pPr/>
      <w:r>
        <w:t>Medication orders are written by a doctor holding at minimum an MBBS qualification. Any other staff category authorised to write orders is backed by legislation or a government order, not an internal hospital decision alone. Even when transcribing a treating consultant's orders from an OP record or admission note, a doctor writes the inpatient medication order. Where the hospital uses an electronic medical record, the doctor enters the prescription directly using their own login; if an assistant enters it, the doctor verifies and authorises it.</w:t>
      </w:r>
    </w:p>
    <w:p>
      <w:pPr>
        <w:pStyle w:val="Heading2"/>
      </w:pPr>
      <w:r>
        <w:t>5.2 Keep every order in one uniform location</w:t>
      </w:r>
    </w:p>
    <w:p>
      <w:pPr/>
      <w:r>
        <w:t>Every medication order is recorded in a single, uniform location in the medical record, which includes the patient's name and unique identification number. Only medications recorded there are administered — orders written anywhere else are moved to this location, and electronic orders follow the same principle. It's preferable for the prescription and administration record to sit on the same sheet — a drug "Kardex," updated or authorised daily, is one useful format for this. Phrases like "continue same treatment," "repeat all," or "repeat 1,4,5,8" aren't accepted in place of a written order. Where a drug's dose changes — for example from four times a day to twice a day — the original order is discontinued and a fresh order written; a strike-through or overwrite of the old order isn't acceptable.</w:t>
      </w:r>
    </w:p>
    <w:p>
      <w:pPr>
        <w:pStyle w:val="Heading2"/>
      </w:pPr>
      <w:r>
        <w:t>5.3 Keep orders legible and traceable</w:t>
      </w:r>
    </w:p>
    <w:p>
      <w:pPr/>
      <w:r>
        <w:t>Hand-written medication orders are written in capital letters. Where abbreviations are used, only the hospital's approved, standardised list applies, throughout the organisation — the Institute for Safe Medication Practices guidelines are a useful reference. Error-prone abbreviations aren't used. The identity of whoever wrote the order is traceable — for example by name against each order, a master signature list, or an employee code.</w:t>
      </w:r>
    </w:p>
    <w:p>
      <w:pPr>
        <w:pStyle w:val="Heading2"/>
      </w:pPr>
      <w:r>
        <w:t>5.4 Include every required detail</w:t>
      </w:r>
    </w:p>
    <w:p>
      <w:pPr/>
      <w:r>
        <w:t>Where an order includes two or more drugs, the strength of each individual drug is stated — this may not apply to combinations of vitamins and/or minerals. Where the strength of a drug differs by time of administration, separate orders are recorded for each. There's a mechanism to catch and act on any order that's incomplete on drug name, route, strength, or frequency and time of administration. (Related requirements are covered in the hospital's other policies.)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implementing this policy; maintains the authorised-prescriber list.</w:t>
            </w:r>
          </w:p>
        </w:tc>
      </w:tr>
      <w:tr>
        <w:tc>
          <w:tcPr>
            <w:tcW w:type="dxa" w:w="4320"/>
          </w:tcPr>
          <w:p>
            <w:r>
              <w:t>Treating doctors / prescribers</w:t>
            </w:r>
          </w:p>
        </w:tc>
        <w:tc>
          <w:tcPr>
            <w:tcW w:type="dxa" w:w="4320"/>
          </w:tcPr>
          <w:p>
            <w:r>
              <w:t>Write medication orders per this policy — MBBS minimum, uniform location, legible, complete — and do not delegate order-writing to non-authorised staff.</w:t>
            </w:r>
          </w:p>
        </w:tc>
      </w:tr>
      <w:tr>
        <w:tc>
          <w:tcPr>
            <w:tcW w:type="dxa" w:w="4320"/>
          </w:tcPr>
          <w:p>
            <w:r>
              <w:t>Nursing Superintendent / Nursing In-Charge</w:t>
            </w:r>
          </w:p>
        </w:tc>
        <w:tc>
          <w:tcPr>
            <w:tcW w:type="dxa" w:w="4320"/>
          </w:tcPr>
          <w:p>
            <w:r>
              <w:t>Ensures only medications recorded in the uniform location are administered; checks orders for legibility and completeness before administration.</w:t>
            </w:r>
          </w:p>
        </w:tc>
      </w:tr>
      <w:tr>
        <w:tc>
          <w:tcPr>
            <w:tcW w:type="dxa" w:w="4320"/>
          </w:tcPr>
          <w:p>
            <w:r>
              <w:t>Quality Coordinator</w:t>
            </w:r>
          </w:p>
        </w:tc>
        <w:tc>
          <w:tcPr>
            <w:tcW w:type="dxa" w:w="4320"/>
          </w:tcPr>
          <w:p>
            <w:r>
              <w:t>Audits adherence to this policy; holds training records.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Authorised prescribers</w:t>
            </w:r>
          </w:p>
        </w:tc>
        <w:tc>
          <w:tcPr>
            <w:tcW w:type="dxa" w:w="4320"/>
          </w:tcPr>
          <w:p>
            <w:r>
              <w:t>Only doctors holding MBBS minimum, or staff specifically authorised by legislation or government order, write medication orders.</w:t>
            </w:r>
          </w:p>
        </w:tc>
      </w:tr>
      <w:tr>
        <w:tc>
          <w:tcPr>
            <w:tcW w:type="dxa" w:w="4320"/>
          </w:tcPr>
          <w:p>
            <w:r>
              <w:t>Uniform order location</w:t>
            </w:r>
          </w:p>
        </w:tc>
        <w:tc>
          <w:tcPr>
            <w:tcW w:type="dxa" w:w="4320"/>
          </w:tcPr>
          <w:p>
            <w:r>
              <w:t>All orders recorded in one location with patient name and unique ID; administration only from that location; no orders written elsewhere accepted without transfer.</w:t>
            </w:r>
          </w:p>
        </w:tc>
      </w:tr>
      <w:tr>
        <w:tc>
          <w:tcPr>
            <w:tcW w:type="dxa" w:w="4320"/>
          </w:tcPr>
          <w:p>
            <w:r>
              <w:t>Order legibility and traceability</w:t>
            </w:r>
          </w:p>
        </w:tc>
        <w:tc>
          <w:tcPr>
            <w:tcW w:type="dxa" w:w="4320"/>
          </w:tcPr>
          <w:p>
            <w:r>
              <w:t>Orders written in capital letters; only approved abbreviations used; prescriber identity traceable on every order.</w:t>
            </w:r>
          </w:p>
        </w:tc>
      </w:tr>
      <w:tr>
        <w:tc>
          <w:tcPr>
            <w:tcW w:type="dxa" w:w="4320"/>
          </w:tcPr>
          <w:p>
            <w:r>
              <w:t>Order completeness</w:t>
            </w:r>
          </w:p>
        </w:tc>
        <w:tc>
          <w:tcPr>
            <w:tcW w:type="dxa" w:w="4320"/>
          </w:tcPr>
          <w:p>
            <w:r>
              <w:t>Drug name, route, strength, and frequency present on every order; multi-drug orders state strength of each drug (vitamin/mineral exception applied correctly); mechanism in place for incomplete orders.</w:t>
            </w:r>
          </w:p>
        </w:tc>
      </w:tr>
      <w:tr>
        <w:tc>
          <w:tcPr>
            <w:tcW w:type="dxa" w:w="4320"/>
          </w:tcPr>
          <w:p>
            <w:r>
              <w:t>No shorthand or overwrite</w:t>
            </w:r>
          </w:p>
        </w:tc>
        <w:tc>
          <w:tcPr>
            <w:tcW w:type="dxa" w:w="4320"/>
          </w:tcPr>
          <w:p>
            <w:r>
              <w:t>No CST, repeat-all, or similar shorthand; modifications written as fresh orders; no strike-through or overwrite accepted.</w:t>
            </w:r>
          </w:p>
        </w:tc>
      </w:tr>
    </w:tbl>
    <w:p>
      <w:pPr>
        <w:pStyle w:val="Heading1"/>
      </w:pPr>
      <w:r>
        <w:t>8. Training and staff acknowledgement</w:t>
      </w:r>
    </w:p>
    <w:p>
      <w:pPr/>
      <w:r>
        <w:t>All doctors and authorised staff who write medication orders, and nursing staff who administer them, shall be familiar with the authorised-prescriber requirements, uniform-location requirement, legibility, traceability, and order-completeness rules in this policy.</w:t>
      </w:r>
    </w:p>
    <w:p>
      <w:pPr/>
      <w:r>
        <w:t>I have read the Policy on Uniform Medication Orders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all treating doctors, nursing staff, the Medical Superintendent, the Medication Safety Officer, and the Quality Coordinator.</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EMR</w:t>
            </w:r>
          </w:p>
        </w:tc>
        <w:tc>
          <w:tcPr>
            <w:tcW w:type="dxa" w:w="4320"/>
          </w:tcPr>
          <w:p>
            <w:r>
              <w:t>Electronic Medical Record</w:t>
            </w:r>
          </w:p>
        </w:tc>
      </w:tr>
      <w:tr>
        <w:tc>
          <w:tcPr>
            <w:tcW w:type="dxa" w:w="4320"/>
          </w:tcPr>
          <w:p>
            <w:r>
              <w:t>ISMP</w:t>
            </w:r>
          </w:p>
        </w:tc>
        <w:tc>
          <w:tcPr>
            <w:tcW w:type="dxa" w:w="4320"/>
          </w:tcPr>
          <w:p>
            <w:r>
              <w:t>Institute for Safe Medication Practices</w:t>
            </w:r>
          </w:p>
        </w:tc>
      </w:tr>
      <w:tr>
        <w:tc>
          <w:tcPr>
            <w:tcW w:type="dxa" w:w="4320"/>
          </w:tcPr>
          <w:p>
            <w:r>
              <w:t>MBBS</w:t>
            </w:r>
          </w:p>
        </w:tc>
        <w:tc>
          <w:tcPr>
            <w:tcW w:type="dxa" w:w="4320"/>
          </w:tcPr>
          <w:p>
            <w:r>
              <w:t>Bachelor of Medicine, Bachelor of Surgery</w:t>
            </w:r>
          </w:p>
        </w:tc>
      </w:tr>
      <w:tr>
        <w:tc>
          <w:tcPr>
            <w:tcW w:type="dxa" w:w="4320"/>
          </w:tcPr>
          <w:p>
            <w:r>
              <w:t>MOM</w:t>
            </w:r>
          </w:p>
        </w:tc>
        <w:tc>
          <w:tcPr>
            <w:tcW w:type="dxa" w:w="4320"/>
          </w:tcPr>
          <w:p>
            <w:r>
              <w:t>Management of Medication (NABH Hospitals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OP</w:t>
            </w:r>
          </w:p>
        </w:tc>
        <w:tc>
          <w:tcPr>
            <w:tcW w:type="dxa" w:w="4320"/>
          </w:tcPr>
          <w:p>
            <w:r>
              <w:t>Outpatient</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MOM.5.a</w:t>
            </w:r>
          </w:p>
        </w:tc>
        <w:tc>
          <w:tcPr>
            <w:tcW w:type="dxa" w:w="2880"/>
          </w:tcPr>
          <w:p>
            <w:r>
              <w:t>Commitment*</w:t>
            </w:r>
          </w:p>
        </w:tc>
        <w:tc>
          <w:tcPr>
            <w:tcW w:type="dxa" w:w="2880"/>
          </w:tcPr>
          <w:p>
            <w:r>
              <w:t>Sections 3 and 5.1 address the MBBS-minimum qualification requirement, legislation or government-order basis for any other authorised category, the requirement for a doctor to write the inpatient order even when transcribing, and electronic-record direct-entry or doctor-verified assistant entry.</w:t>
            </w:r>
          </w:p>
        </w:tc>
      </w:tr>
      <w:tr>
        <w:tc>
          <w:tcPr>
            <w:tcW w:type="dxa" w:w="2880"/>
          </w:tcPr>
          <w:p>
            <w:r>
              <w:t>MOM.5.b</w:t>
            </w:r>
          </w:p>
        </w:tc>
        <w:tc>
          <w:tcPr>
            <w:tcW w:type="dxa" w:w="2880"/>
          </w:tcPr>
          <w:p>
            <w:r>
              <w:t>Commitment</w:t>
            </w:r>
          </w:p>
        </w:tc>
        <w:tc>
          <w:tcPr>
            <w:tcW w:type="dxa" w:w="2880"/>
          </w:tcPr>
          <w:p>
            <w:r>
              <w:t>Sections 3 and 5.2 address the single uniform location with patient name and unique ID, administration only from that location, transfer of orders written elsewhere, the ban on shorthand phrases (CST, repeat-all), and the fresh-order requirement for modifications — strike-through or overwrite of the old order is not acceptable.</w:t>
            </w:r>
          </w:p>
        </w:tc>
      </w:tr>
      <w:tr>
        <w:tc>
          <w:tcPr>
            <w:tcW w:type="dxa" w:w="2880"/>
          </w:tcPr>
          <w:p>
            <w:r>
              <w:t>MOM.5.c</w:t>
            </w:r>
          </w:p>
        </w:tc>
        <w:tc>
          <w:tcPr>
            <w:tcW w:type="dxa" w:w="2880"/>
          </w:tcPr>
          <w:p>
            <w:r>
              <w:t>Commitment</w:t>
            </w:r>
          </w:p>
        </w:tc>
        <w:tc>
          <w:tcPr>
            <w:tcW w:type="dxa" w:w="2880"/>
          </w:tcPr>
          <w:p>
            <w:r>
              <w:t>Section 5.3 addresses the capital-letter requirement for hand-written orders, the approved standardised abbreviation list applied throughout the organisation, the ban on error-prone abbreviations, and prescriber-identity traceability on every order.</w:t>
            </w:r>
          </w:p>
        </w:tc>
      </w:tr>
      <w:tr>
        <w:tc>
          <w:tcPr>
            <w:tcW w:type="dxa" w:w="2880"/>
          </w:tcPr>
          <w:p>
            <w:r>
              <w:t>MOM.5.d</w:t>
            </w:r>
          </w:p>
        </w:tc>
        <w:tc>
          <w:tcPr>
            <w:tcW w:type="dxa" w:w="2880"/>
          </w:tcPr>
          <w:p>
            <w:r>
              <w:t>Commitment</w:t>
            </w:r>
          </w:p>
        </w:tc>
        <w:tc>
          <w:tcPr>
            <w:tcW w:type="dxa" w:w="2880"/>
          </w:tcPr>
          <w:p>
            <w:r>
              <w:t>Section 5.4 addresses the multi-drug strength requirement — with the explicit exception for vitamin and/or mineral combinations only — separate orders for different strengths by time, and the mechanism for catching and acting on incomplete orders.</w:t>
            </w:r>
          </w:p>
        </w:tc>
      </w:tr>
    </w:tbl>
    <w:p>
      <w:pPr>
        <w:pStyle w:val="Heading1"/>
      </w:pPr>
      <w:r>
        <w:t>12. Required Records/Evidence Checklist</w:t>
      </w:r>
    </w:p>
    <w:p>
      <w:pPr>
        <w:pStyle w:val="Heading2"/>
      </w:pPr>
      <w:r>
        <w:t>Authorised prescribers — MOM.5.a (Commitment*)</w:t>
      </w:r>
    </w:p>
    <w:p>
      <w:pPr>
        <w:pStyle w:val="ListBullet"/>
      </w:pPr>
      <w:r>
        <w:t>Authorised-prescriber list showing MBBS minimum for doctors.</w:t>
      </w:r>
    </w:p>
    <w:p>
      <w:pPr>
        <w:pStyle w:val="ListBullet"/>
      </w:pPr>
      <w:r>
        <w:t>Legislation or government order for any non-doctor category authorised to write medication orders.</w:t>
      </w:r>
    </w:p>
    <w:p>
      <w:pPr>
        <w:pStyle w:val="ListBullet"/>
      </w:pPr>
      <w:r>
        <w:t>Electronic-record verification record where an assistant enters the prescription — showing doctor authorisation.</w:t>
      </w:r>
    </w:p>
    <w:p>
      <w:pPr>
        <w:pStyle w:val="Heading2"/>
      </w:pPr>
      <w:r>
        <w:t>Uniform order location — MOM.5.b</w:t>
      </w:r>
    </w:p>
    <w:p>
      <w:pPr>
        <w:pStyle w:val="ListBullet"/>
      </w:pPr>
      <w:r>
        <w:t>Medication-order records showing uniform location containing patient name and unique identification number.</w:t>
      </w:r>
    </w:p>
    <w:p>
      <w:pPr>
        <w:pStyle w:val="ListBullet"/>
      </w:pPr>
      <w:r>
        <w:t>Evidence that only medications from the uniform location are administered.</w:t>
      </w:r>
    </w:p>
    <w:p>
      <w:pPr>
        <w:pStyle w:val="ListBullet"/>
      </w:pPr>
      <w:r>
        <w:t>Transfer records for orders originally written outside the uniform location.</w:t>
      </w:r>
    </w:p>
    <w:p>
      <w:pPr>
        <w:pStyle w:val="ListBullet"/>
      </w:pPr>
      <w:r>
        <w:t>Absence of shorthand (CST, repeat-all) in current medication-order records.</w:t>
      </w:r>
    </w:p>
    <w:p>
      <w:pPr>
        <w:pStyle w:val="ListBullet"/>
      </w:pPr>
      <w:r>
        <w:t>Fresh-order records for medication changes, with original discontinued.</w:t>
      </w:r>
    </w:p>
    <w:p>
      <w:pPr>
        <w:pStyle w:val="Heading2"/>
      </w:pPr>
      <w:r>
        <w:t>Legibility and traceability — MOM.5.c</w:t>
      </w:r>
    </w:p>
    <w:p>
      <w:pPr>
        <w:pStyle w:val="ListBullet"/>
      </w:pPr>
      <w:r>
        <w:t>Sample medication orders written in capital letters with no error-prone abbreviations.</w:t>
      </w:r>
    </w:p>
    <w:p>
      <w:pPr>
        <w:pStyle w:val="ListBullet"/>
      </w:pPr>
      <w:r>
        <w:t>Approved abbreviation list in use throughout the organisation.</w:t>
      </w:r>
    </w:p>
    <w:p>
      <w:pPr>
        <w:pStyle w:val="ListBullet"/>
      </w:pPr>
      <w:r>
        <w:t>Prescriber-identity traceability on each order — name, master signature list, or employee code.</w:t>
      </w:r>
    </w:p>
    <w:p>
      <w:pPr>
        <w:pStyle w:val="Heading2"/>
      </w:pPr>
      <w:r>
        <w:t>Order completeness — MOM.5.d</w:t>
      </w:r>
    </w:p>
    <w:p>
      <w:pPr>
        <w:pStyle w:val="ListBullet"/>
      </w:pPr>
      <w:r>
        <w:t>Sample orders showing drug name, route, strength, and frequency or time of administration present.</w:t>
      </w:r>
    </w:p>
    <w:p>
      <w:pPr>
        <w:pStyle w:val="ListBullet"/>
      </w:pPr>
      <w:r>
        <w:t>Multi-drug orders with strength of each individual drug stated (vitamin/mineral exception documented where applied).</w:t>
      </w:r>
    </w:p>
    <w:p>
      <w:pPr>
        <w:pStyle w:val="ListBullet"/>
      </w:pPr>
      <w:r>
        <w:t>Mechanism documentation for catching and acting on incomplete orders.</w:t>
      </w:r>
    </w:p>
    <w:p>
      <w:pPr>
        <w:pStyle w:val="Heading1"/>
      </w:pPr>
      <w:r>
        <w:t>13. References</w:t>
      </w:r>
    </w:p>
    <w:p>
      <w:pPr>
        <w:pStyle w:val="ListNumber"/>
      </w:pPr>
      <w:r>
        <w:t>National Accreditation Board for Hospitals and Healthcare Providers. NABH Accreditation Standards for Hospitals, 6th Edition. MOM.5.</w:t>
      </w:r>
    </w:p>
    <w:p>
      <w:pPr>
        <w:pStyle w:val="ListNumber"/>
      </w:pPr>
      <w:r>
        <w:t>Guidebook interpretation supplied for MOM.5.a through MOM.5.d.</w:t>
      </w:r>
    </w:p>
    <w:p>
      <w:pPr>
        <w:pStyle w:val="ListNumber"/>
      </w:pPr>
      <w:r>
        <w:t>Institute for Safe Medication Practices (ISMP) guidelines on error-prone abbreviations.</w:t>
      </w:r>
    </w:p>
    <w:p>
      <w:pPr>
        <w:pStyle w:val="Heading1"/>
      </w:pPr>
      <w:r>
        <w:t>Disclaimer</w:t>
      </w:r>
    </w:p>
    <w:p>
      <w:pPr/>
      <w:r>
        <w:t>This policy reorganises the supplied MOM.5 objective-element wording and Guidebook interpretation into plain-language policy format. The modal strength of the source has been preserved. Optional examples and mechanisms have not been converted into mandatory requirements. The MBBS-minimum qualification requirement, the single uniform location with patient name and unique identification number, the prohibition on strike-through or overwrite, and the multi-drug strength exception limited to vitamin and/or mineral combinations only have all been retained verbatim.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