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EWS — early warning score.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MEWS</w:t>
            </w:r>
          </w:p>
        </w:tc>
        <w:tc>
          <w:tcPr>
            <w:tcW w:type="pct" w:w="22%"/>
            <w:tcBorders>
              <w:top w:val="single" w:color="999999" w:sz="4"/>
              <w:left w:val="single" w:color="999999" w:sz="4"/>
              <w:bottom w:val="single" w:color="999999" w:sz="4"/>
              <w:right w:val="single" w:color="999999" w:sz="4"/>
            </w:tcBorders>
            <w:shd w:fill="E8E8E8" w:val="clear"/>
          </w:tcPr>
          <w:p>
            <w:r>
              <w:rPr>
                <w:b w:val="0"/>
              </w:rPr>
              <w:t>modified 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