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Root-cause analysis is required when the same handover or continuity defect recurs; the organisation's defined recurrence threshold applies, as documented in the hospital's Root Cause Analysis procedure.</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SBAR</w:t>
            </w:r>
          </w:p>
        </w:tc>
        <w:tc>
          <w:tcPr>
            <w:tcW w:type="pct" w:w="22%"/>
            <w:tcBorders>
              <w:top w:val="single" w:color="999999" w:sz="4"/>
              <w:left w:val="single" w:color="999999" w:sz="4"/>
              <w:bottom w:val="single" w:color="999999" w:sz="4"/>
              <w:right w:val="single" w:color="999999" w:sz="4"/>
            </w:tcBorders>
            <w:shd w:fill="E8E8E8" w:val="clear"/>
          </w:tcPr>
          <w:p>
            <w:r>
              <w:rPr>
                <w:b w:val="0"/>
              </w:rPr>
              <w:t>Situation, Background, Assessment, Recommendation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