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spacing w:after="140"/>
      </w:pPr>
      <w:r>
        <w:rPr>
          <w:sz w:val="22"/>
          <w:szCs w:val="22"/>
        </w:rPr>
        <w:t xml:space="preserve">It covers the four elements COP.4.a–d name. It does not cover the care plan as a clinical document (AAC.3), uniform care across settings (COP.1), or medication administration as a system (MOM).</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 xml:space="preserve">Nursing care is aligned and integrated with overall patient care. Nursing assessments, interventions and outcomes are documented in the patient record — the same record the treating doctor uses. AAC.3 owns the care plan as a clinical document; nursing care follows and contributes to that plan.</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