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A list that exists only so PRE.1 can display it, or a care plan written without the patient, misses the point of this policy.</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chapter; not yet drafted)</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